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Verwerkersovereenkomst Onderhoudsbedrijf Fictief BV</w:t>
      </w:r>
    </w:p>
    <w:p>
      <w:r>
        <w:t>Datum: 1 oktober 2026</w:t>
      </w:r>
    </w:p>
    <w:p>
      <w:r>
        <w:t>Contractpartijen:</w:t>
      </w:r>
    </w:p>
    <w:p>
      <w:r>
        <w:t>1. Opdrachtgever te weten Woningcorporatie Voorbeeldwonen, statutair gevestigd te Voorbeeldstad, vertegenwoordigd door de directeur-bestuurder, hierna te noemen: 'Verwerkingsverantwoordelijke',</w:t>
      </w:r>
    </w:p>
    <w:p>
      <w:r>
        <w:t>en</w:t>
      </w:r>
    </w:p>
    <w:p>
      <w:r>
        <w:t>2. Opdrachtnemer te weten Onderhoudsbedrijf Fictief BV, statutair gevestigd te Almere, vertegenwoordigd door de algemeen directeur, hierna te noemen: 'Verwerker',</w:t>
      </w:r>
    </w:p>
    <w:p>
      <w:r>
        <w:t>hierna gezamenlijk aan te duiden als: 'Partijen';</w:t>
      </w:r>
    </w:p>
    <w:p>
      <w:pPr>
        <w:pStyle w:val="Heading1"/>
      </w:pPr>
      <w:r>
        <w:t>Overwegende dat:</w:t>
      </w:r>
    </w:p>
    <w:p>
      <w:r>
        <w:t>Partijen hebben op 1 maart 2026 een Overeenkomst met betrekking tot Raamovereenkomst voor dagelijks onderhoud en reparatieverzoeken aan circa 4.000 huurwoningen gesloten met kenmerk RO-2026-012. Ter uitvoering van deze Overeenkomst worden Persoonsgegevens verwerkt.</w:t>
      </w:r>
    </w:p>
    <w:p>
      <w:r>
        <w:t>Verwerkingsverantwoordelijke stelt het doel en middelen vast voor de verwerking van persoonsgegevens conform artikel 4 lid 7 AVG. Verwerker verwerkt ten behoeve van Verwerkingsverantwoordelijke Persoonsgegevens conform artikel 4 lid 8 AVG. Partijen hechten grote waarde aan het beschermen van deze Persoonsgegevens. Om die reden en conform artikel 28 lid 3 AVG leggen Partijen in deze Verwerkersovereenkomst en de daarbij behorende bijlagen, te weten:</w:t>
      </w:r>
    </w:p>
    <w:p>
      <w:r>
        <w:t>1. Overzicht met verwerkingen van Persoonsgegevens en verwerkingsdoelen</w:t>
      </w:r>
    </w:p>
    <w:p>
      <w:r>
        <w:t>2. Overzicht met beveiligingsmaatregelen</w:t>
      </w:r>
    </w:p>
    <w:p>
      <w:r>
        <w:t>3. Proces rondom het melden van Datalekken en de te verstrekken informatie met betrekking tot het Datalek</w:t>
      </w:r>
    </w:p>
    <w:p>
      <w:r>
        <w:t>4. Risicotoets Privacy en Informatiebeveiliging en afgesproken maatregelen</w:t>
      </w:r>
    </w:p>
    <w:p>
      <w:r>
        <w:t>5. Standard Contractual Clauses inclusief de door Partijen uitgevoerde data transfer impact assessment.</w:t>
      </w:r>
    </w:p>
    <w:p>
      <w:r>
        <w:t>vast wat Verwerker wel en niet mag doen met de Persoonsgegevens.</w:t>
      </w:r>
    </w:p>
    <w:p>
      <w:pPr>
        <w:pStyle w:val="Heading1"/>
      </w:pPr>
      <w:r>
        <w:t>1. Definities</w:t>
      </w:r>
    </w:p>
    <w:p>
      <w:r>
        <w:t>De hierna en hiervoor gebruikte begrippen volgen uit de Algemene Verordening Gegevensbescherming en hebben de volgende betekenis:</w:t>
      </w:r>
    </w:p>
    <w:p>
      <w:r>
        <w:t>1.1 Persoonsgegevens: alle informatie over een geïdentificeerde of identificeerbare natuurlijke persoon ('de Betrokkene');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p>
    <w:p>
      <w:r>
        <w:t>1.2 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r>
        <w:t>1.3 Betrokkene: geïdentificeerde of identificeerbaar natuurlijk persoon op wie de verwerkte Persoonsgegeven betrekking hebben.</w:t>
      </w:r>
    </w:p>
    <w:p>
      <w:r>
        <w:t>1.4 Verwerkersovereenkomst: deze Overeenkomst inclusief de bijlagen ('Verwerkersovereenkomst').</w:t>
      </w:r>
    </w:p>
    <w:p>
      <w:r>
        <w:t>1.5 Overeenkomst: de hoofdovereenkomst waar deze Verwerkersovereenkomst uit voortvloeit.</w:t>
      </w:r>
    </w:p>
    <w:p>
      <w:r>
        <w:t>1.6 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gegevens ('Datalek').</w:t>
      </w:r>
    </w:p>
    <w:p>
      <w:r>
        <w:t>1.7 Subverwerker: een verwerker die wordt ingeschakeld door Verwerker om (indirect) Persoonsgegevens te verwerken namens Verwerkingsverantwoordelijke, zoals bedoeld in artikel 28 lid 4 AVG.</w:t>
      </w:r>
    </w:p>
    <w:p>
      <w:r>
        <w:t>1.8 Toezichthoudende autoriteit: een onafhankelijke overheidsinstantie verantwoordelijk voor het toezicht op de naleving van de wet in verband met de verwerking van Persoonsgegevens. In Nederland is dit de Autoriteit Persoonsgegevens.</w:t>
      </w:r>
    </w:p>
    <w:p>
      <w:pPr>
        <w:pStyle w:val="Heading1"/>
      </w:pPr>
      <w:r>
        <w:t>2. Totstandkoming, duur en beëindiging van deze Verwerkersovereenkomst</w:t>
      </w:r>
    </w:p>
    <w:p>
      <w:r>
        <w:t>2.1 Deze Verwerkersovereenkomst treedt in werking op de datum waarop Partijen deze ondertekenen.</w:t>
      </w:r>
    </w:p>
    <w:p>
      <w:r>
        <w:t>2.2 Deze Verwerkersovereenkomst is onderdeel van de Overeenkomst en zal gelden voor zolang de Overeenkomst duurt.</w:t>
      </w:r>
    </w:p>
    <w:p>
      <w:r>
        <w:t>2.3 Indien de Overeenkomst eindigt, eindigt deze Verwerkersovereenkomst automatisch; de Verwerkersovereenkomst kan niet apart worden opgezegd.</w:t>
      </w:r>
    </w:p>
    <w:p>
      <w:r>
        <w:t>2.4 Na beëindiging van deze Verwerkersovereenkomst zullen de lopende verplichtingen voor Verwerker, zoals het melden van Datalekken waarbij Persoonsgegevens van Verwerkingsverantwoordelijke betrokken zijn en de plicht tot geheimhouding blijven voortduren.</w:t>
      </w:r>
    </w:p>
    <w:p>
      <w:pPr>
        <w:pStyle w:val="Heading1"/>
      </w:pPr>
      <w:r>
        <w:t>3. Verwerken Persoonsgegevens</w:t>
      </w:r>
    </w:p>
    <w:p>
      <w:r>
        <w:t>3.1 Verwerker verwerkt alleen Persoonsgegevens in opdracht van Verwerkingsverantwoordelijke en Verwerker heeft geen zeggenschap over de Persoonsgegevens. Verwerker volgt instructies van Verwerkingsverantwoordelijke ten aanzien van de verwerking op en mag de Persoonsgegevens niet op een andere manier verwerken, tenzij Verwerkingsverantwoordelijke Verwerker daar van tevoren toestemming of opdracht voor geeft of Verwerker hiertoe op grond van een Unierechtelijke of lidstatelijke bepaling verplicht is. In dit laatste geval stelt Verwerker Verwerkingsverantwoordelijke, voorafgaand aan de verwerking, in kennis van dat wettelijk voorschrift, tenzij die wetgeving deze kennisgeving om gewichtige redenen van algemeen belang verbiedt.</w:t>
      </w:r>
    </w:p>
    <w:p>
      <w:r>
        <w:t>3.2 In Bijlage 1 wordt opgenomen welke Persoonsgegevens Verwerker precies zal verwerken en voor welke verwerkingsdoeleinden.</w:t>
      </w:r>
    </w:p>
    <w:p>
      <w:r>
        <w:t>3.3 Verwerker houdt zich aan de toepasselijke wet- en regelgeving voor de verwerking van persoonsgegevens, waaronder maar uitdrukkelijk niet beperkt tot de AVG en de Uitvoeringswet AVG, en verwerkt de gegevens op een behoorlijke, zorgvuldige en transparante wijze.</w:t>
      </w:r>
    </w:p>
    <w:p>
      <w:r>
        <w:t>3.4 Verwerker mag een Subverwerker inschakelen die is gevestigd binnen de Europese Economische Ruimte (EER) en daarbinnen Persoonsgegevens zal verwerken, mits hij Verwerkingsverantwoordelijke hiervan schriftelijk in kennis heeft gesteld en Verwerkingsverantwoordelijke conform artikel 3.5 hierna geen bezwaar heeft gemaakt.</w:t>
      </w:r>
    </w:p>
    <w:p>
      <w:r>
        <w:t>3.5 Verwerkingsverantwoordelijke kan, binnen dertig (30) dagen na de schriftelijke melding van Verwerker en onder opgaaf van redenen, bezwaar maken tegen het inschakelen, waaronder toevoegingen en vervangingen, van Subverwerkers zoals bedoeld in artikel 3.4 hierboven. In geval van een met redenen omkleed bezwaar treden Verwerker en Verwerkingsverantwoordelijke met elkaar in overleg over de inzet van de betreffende Subverwerker(s) ten behoeve van de uitvoering van de Overeenkomst en bijbehorende Verwerkersovereenkomst. Voor zover Partijen nog geen overeenstemming hebben bereikt, zal Verwerker de desbetreffende Subverwerker niet inschakelen.</w:t>
      </w:r>
    </w:p>
    <w:p>
      <w:r>
        <w:t>3.6 Verwerker waarborgt contractueel en blijft ervoor verantwoordelijk dat alle door hem ingeschakelde Subverwerkers de verplichtingen ten aanzien van de Verwerking van Persoonsgegevens, zoals vervat in de Overeenkomst en deze Verwerkersovereenkomst, naleven, en met name, maar uitdrukkelijk niet beperkt tot, de verplichting afdoende garanties met betrekking tot het toepassen van passende technische en organisatorische maatregelen te bieden, om zo een passend beschermingsniveau van de Persoonsgegevens te waarborgen.</w:t>
      </w:r>
    </w:p>
    <w:p>
      <w:r>
        <w:t>3.7 Wanneer Verwerkingsverantwoordelijke een verzoek van een Betrokkene ontvangt ten aanzien van het uitoefenen van zijn of haar rechten, dan werkt Verwerker daar binnen een termijn van 14 dagen aan mee. Deze rechten bestaan uit een verzoek om inzage, verbetering, aanvulling, verwijdering of afscherming, bezwaar maken tegen de verwerking van de Persoonsgegevens en een verzoek tot overdraagbaarheid van de eigen Persoonsgegevens.</w:t>
      </w:r>
    </w:p>
    <w:p>
      <w:r>
        <w:t>3.8 Verwerker stelt de Verwerkingsverantwoordelijke onverwijld in kennis van elk verzoek dat hij van een Betrokkene ontvangt ten aanzien van de verwerking van Persoonsgegevens door Verwerker namens Verwerkingsverantwoordelijke. Verwerker antwoordt niet zelf op het verzoek, tenzij de Verwerkingsverantwoordelijke daartoe toestemming en/of opdracht heeft gegeven.</w:t>
      </w:r>
    </w:p>
    <w:p>
      <w:r>
        <w:t>3.9 Indien het voor Verwerker niet direct duidelijk is of de Betrokkene een verzoek doet ten aanzien van de Persoonsgegevens die Verwerker namens Verwerkingsverantwoordelijke verwerkt, dan zal Verwerker de Betrokkene te kennen geven dat het verzoek aan de betreffende verwerkingsverantwoordelijke kan worden gericht, zonder te verwijzen naar of te communiceren over (de verwerking van Persoonsgegevens namens) Verwerkingsverantwoordelijke.</w:t>
      </w:r>
    </w:p>
    <w:p>
      <w:pPr>
        <w:pStyle w:val="Heading1"/>
      </w:pPr>
      <w:r>
        <w:t>4. Beveiligen Persoonsgegevens</w:t>
      </w:r>
    </w:p>
    <w:p>
      <w:r>
        <w:t>4.1 Verwerker zorgt ervoor dat de Persoonsgegevens voldoende worden beveiligd. Om verlies en onrechtmatige verwerkingen te voorkomen neemt Verwerker passende technische en organisatorische maatregelen.</w:t>
      </w:r>
    </w:p>
    <w:p>
      <w:r>
        <w:t>4.2 Deze maatregelen zijn afgestemd op het risico van de Verwerking. Een overzicht van deze maatregelen en het beleid daaromtrent wordt opgenomen in Bijlage 2.</w:t>
      </w:r>
    </w:p>
    <w:p>
      <w:r>
        <w:t>4.3 Ter controle van de genomen beveiligingsmaatregelen zal Verwerker aan Verwerkingsverantwoordelijke ieder jaar een rapportage sturen waarin de genomen maatregelen staan en de eventuele aandachts- en/of verbeterpunten. Hiervoor brengt Verwerker geen kosten in rekening aan Verwerkingsverantwoordelijke.</w:t>
      </w:r>
    </w:p>
    <w:p>
      <w:r>
        <w:t>4.4 Verwerkingsverantwoordelijke heeft één keer per jaar, of vaker indien daartoe een concrete en aantoonbare aanleiding bestaat, het recht de naleving van deze Verwerkersovereenkomst te (laten) controleren, bijvoorbeeld door middel van een audit. Verwerker verleent hierbij naar redelijkheid zijn medewerking en verstrekt hiertoe alle relevante informatie. Verwerker behoudt zich het recht voor om redelijke nadere eisen aan een audit te stellen die toezien op veiligheidsprocedures en om ervoor te waken dat zijn bedrijfsvoering niet onredelijk wordt verstoord.</w:t>
      </w:r>
    </w:p>
    <w:p>
      <w:r>
        <w:t>4.5 De kosten van een audit, alsmede de voor de audit te maken (vooraf kenbaar gemaakte en door Verwerkingsverantwoordelijke schriftelijk geaccordeerde) arbeidskosten van Verwerker worden gedragen door Verwerkingsverantwoordelijke, tenzij uit de audit blijkt dat Verwerker zich niet aan de verplichtingen in deze Verwerkersovereenkomst houdt.</w:t>
      </w:r>
    </w:p>
    <w:p>
      <w:r>
        <w:t>4.6 Indien Verwerker meent dat een instructie van Verwerkingsverantwoordelijke als bedoeld in artikel 4.4 van deze Verwerkersovereenkomst, een inbreuk oplevert op geldende wet- en regelgeving, waaronder de AVG, stelt hij Verwerkingsverantwoordelijke hiervan onmiddellijk op de hoogte.</w:t>
      </w:r>
    </w:p>
    <w:p>
      <w:r>
        <w:t>4.7 De controle op de naleving van deze Verwerkersovereenkomst door Verwerker zoals bedoeld in artikel 4.4 hiervoor, kan, naar keuze van de Verwerkingsverantwoordelijke, ook geschieden via zelfevaluatie door Verwerker. De zelfevaluatie houdt in dat de Verwerkingsverantwoordelijke aan Verwerker een vragenlijst verstrekt. Verwerker vult de vragenlijst tijdig, volledig en naar waarheid in. Indien passend verstrekt Verwerker de nodige informatie en documentatie, zoals certificaten en rapportages, om de beantwoording van de vragenlijst te onderbouwen. Indien de beantwoording van de vragenlijst naar mening van Verwerkingsverantwoordelijke onvoldoende aantoont dat Verwerker conform deze Verwerkersovereenkomst persoonsgegevens verwerkt, dan is Verwerkingsverantwoordelijke gerechtigd alsnog een (volledige) audit uit te voeren.</w:t>
      </w:r>
    </w:p>
    <w:p>
      <w:r>
        <w:t>4.8 Indien uit de controle blijkt dat de door Verwerker getroffen maatregelen en voorzieningen niet in voldoende mate voldoen aan deze Verwerkersovereenkomst en/of de AVG, dan zal Verwerker onverwijld de nodige maatregelen treffen om hier alsnog aan te voldoen. Verwerker houdt Verwerkingsverantwoordelijke, al dan niet op verzoek, op de hoogte over de maatregelen die hij neemt en de implementatie daarvan.</w:t>
      </w:r>
    </w:p>
    <w:p>
      <w:r>
        <w:t>4.9 Wanneer Verwerkingsverantwoordelijke vaststelt dat een wijziging in de te nemen beveiligingsmaatregelen noodzakelijk is, treden Partijen in overleg over de wijziging daarvan. De kosten gemoeid met het wijzigen van de beveiligingsmaatregelen komen voor rekening van degene die de kosten maakt.</w:t>
      </w:r>
    </w:p>
    <w:p>
      <w:pPr>
        <w:pStyle w:val="Heading1"/>
      </w:pPr>
      <w:r>
        <w:t>5. Exporteren Persoonsgegevens</w:t>
      </w:r>
    </w:p>
    <w:p>
      <w:r>
        <w:t>5.1 Verwerker mag geen Persoonsgegevens (laten) verwerken buiten de EER, ook niet door Subverwerkers en/of andere personen of organisaties, zonder daarvoor voorafgaande schriftelijke toestemming van de algemeen directeur van Verwerkingsverantwoordelijke.</w:t>
      </w:r>
    </w:p>
    <w:p>
      <w:r>
        <w:t>5.2 Indien Verwerker conform dit artikel 5 toestemming verkrijgt om persoonsgegevens buiten de EER te (laten) verwerken, dan doet hij dit alleen indien de Europese Commissie conform artikel 45 AVG het beschermingsniveau voor dat land en de betreffende doorgifte adequaat heeft verklaard of Verwerker conform artikel 46 AVG passende waarborgen biedt en de betrokkenen over afdwingbare rechten en doeltreffende rechtsmiddelen beschikken.</w:t>
      </w:r>
    </w:p>
    <w:p>
      <w:r>
        <w:t>5.3 Indien Verwerkingsverantwoordelijke Persoonsgegevens doorgeeft naar Verwerker buiten de EER en voor dit land geen adequaatheidsbesluit geldt, komen Verwerkingsverantwoordelijke en Verwerker de Standard Contractual Clauses van de Europese Commissie (C/2021/3972), met indien wenselijk daarin opgenomen extra waarborgen, overeen. Deze Standard Contractual Clauses, inclusief de bijbehorend Data Transfer Impact Assesment (DTIA) worden dan opgenomen als Bijlage 5 bij deze Verwerkersovereenkomst.</w:t>
      </w:r>
    </w:p>
    <w:p>
      <w:pPr>
        <w:pStyle w:val="Heading1"/>
      </w:pPr>
      <w:r>
        <w:t>6. Geheimhouding</w:t>
      </w:r>
    </w:p>
    <w:p>
      <w:r>
        <w:t>6.1 Verwerker zal de verstrekte Persoonsgegevens geheim houden, tenzij dit op basis van een wettelijke verplichting niet kan.</w:t>
      </w:r>
    </w:p>
    <w:p>
      <w:r>
        <w:t>6.2 Verwerker zorgt dat zijn/haar personeel en ingeschakelde hulppersonen zich aan deze geheimhouding houden, door een geheimhoudingsplicht in de (arbeids-)contracten op te nemen.</w:t>
      </w:r>
    </w:p>
    <w:p>
      <w:pPr>
        <w:pStyle w:val="Heading1"/>
      </w:pPr>
      <w:r>
        <w:t>7. Datalekken</w:t>
      </w:r>
    </w:p>
    <w:p>
      <w:r>
        <w:t>7.1 In geval van een ontdekking van een mogelijk Datalek zal Verwerker Verwerkingsverantwoordelijke hierover informeren binnen een termijn van 24 uur overeenkomstig het proces volgend uit Bijlage 3, zodat Verwerkingsverantwoordelijke indien nodig een melding van het Datalek bij de Toezichthouder kan doen.</w:t>
      </w:r>
    </w:p>
    <w:p>
      <w:r>
        <w:t>7.2 Verwerker zal Verwerkingsverantwoordelijke op de hoogte houden van nieuwe ontwikkelingen rondom het Datalek, ook zal Verwerker de getroffen maatregelen om het Datalek te beperken en te beëindigen en een soortgelijk incident in de toekomst te kunnen voorkomen, overleggen aan Verwerkingsverantwoordelijke.</w:t>
      </w:r>
    </w:p>
    <w:p>
      <w:r>
        <w:t>7.3 Verwerker mag geen melding van een Datalek aan de Toezichthouder doen, wanneer bij het Datalek Persoonsgegevens van Verwerkingsverantwoordelijke betrokken zijn. Ook mag Verwerker de Betrokkenen niet informeren over het Datalek. Deze verantwoordelijkheid ligt bij Verwerkingsverantwoordelijke.</w:t>
      </w:r>
    </w:p>
    <w:p>
      <w:r>
        <w:t>7.4 Eventuele kosten die gemaakt worden om het Datalek op te lossen en in de toekomst te kunnen voorkomen, komen voor rekening van degene die de kosten maakt.</w:t>
      </w:r>
    </w:p>
    <w:p>
      <w:pPr>
        <w:pStyle w:val="Heading1"/>
      </w:pPr>
      <w:r>
        <w:t>8. Aansprakelijkheid</w:t>
      </w:r>
    </w:p>
    <w:p>
      <w:r>
        <w:t>8.1 Verwerker is aansprakelijk voor alle schade die Verwerkingsverantwoordelijke lijdt door het niet nakomen van de wet en/of de bepalingen uit deze Verwerkersovereenkomst, voor zover de schade is ontstaan door enig handelen of nalaten van Verwerker. De totale aansprakelijkheid van Verwerker, behalve voor schade van Betrokkenen, zal per gebeurtenis nooit meer bedragen dan: a. hetgeen de verzekeraar van Verwerker uitkeert; of b. indien Verwerker niet is verzekerd dan wel indien de verzekeraar niet of slechts een deel van de schade van Verwerkingsverantwoordelijke uitkeert, een bedrag van EUR 100.000,00.</w:t>
      </w:r>
    </w:p>
    <w:p>
      <w:r>
        <w:t>8.2 Verwerker zal een deugdelijke beroepsaansprakelijkheidsverzekering en/of cybersecurity verzekering afsluiten die incidenten met betrekking tot de verwerking van Persoonsgegevens dekt. Op verzoek van Verwerkingsverantwoordelijke zal Verwerker een actueel certificaat van de verzekering(en) doen toekomen.</w:t>
      </w:r>
    </w:p>
    <w:p>
      <w:r>
        <w:t>8.3 Indien Verwerker de verplichtingen uit deze Verwerkersovereenkomst niet nakomt, zal Verwerkingsverantwoordelijke Verwerker hier schriftelijk op aanspreken. Verwerkingsverantwoordelijke geeft Verwerker hierbij, afhankelijk van de aard van de overtreding, een redelijke termijn om de overtreding op te heffen. Als Verwerker na afloop van deze termijn de verplichtingen uit deze Verwerkersovereenkomst nog steeds niet nakomt, is Verwerker aan Verwerkingsverantwoordelijke, zonder dat enige ingebrekestelling of gerechtelijke tussenkomst vereist is, een direct opeisbare boete verschuldigd van € 2.500,- (zegge: tweeduizend vijfhonderd euro) voor iedere overtreding en € 500,- (zegge: vijfhonderd euro) voor iedere dag dat Verwerker de overtreding na afloop van de gegeven termijn laat voortduren, met een maximum van EUR 10.000,00 (zegge: tienduizend euro). Daarnaast behoudt Verwerkingsverantwoordelijke het recht om schadevergoeding en nakoming te vorderen. Deze boete strekt ter aansporing van Verwerker om deze Verwerkersovereenkomst na te komen en daarom wordt uitdrukkelijk beoogd om deze niet vatbaar te maken voor matiging op welke grond dan ook.</w:t>
      </w:r>
    </w:p>
    <w:p>
      <w:r>
        <w:t>8.4 Verwerker is aansprakelijk voor de aan Verwerkingsverantwoordelijke opgelegde bestuurlijke boete door de Toezichthouder, als deze het gevolg is van het onrechtmatig of nalatig handelen van Verwerker.</w:t>
      </w:r>
    </w:p>
    <w:p>
      <w:r>
        <w:t>8.5 Verwerkingsverantwoordelijke is niet aansprakelijk voor aanspraken van Betrokkenen of andere personen en organisaties waar Verwerker de samenwerking mee is aangegaan of waarvan Verwerker Persoonsgegevens verwerkt, als dit het gevolg is van het onrechtmatig of nalatig handelen van Verwerker.</w:t>
      </w:r>
    </w:p>
    <w:p>
      <w:pPr>
        <w:pStyle w:val="Heading1"/>
      </w:pPr>
      <w:r>
        <w:t>9. Teruggave Persoonsgegevens en bewaartermijn</w:t>
      </w:r>
    </w:p>
    <w:p>
      <w:r>
        <w:t>9.1 De Verwerker houdt zich gedurende de looptijd van de Overeenkomst aan de bewaartermijnen die Verwerker en Verwerkingsverantwoordelijke zijn overeengekomen in Bijlage 1 bij deze Verwerkersovereenkomst en verwijdert Persoonsgegevens op verzoek van Verwerkingsverantwoordelijke, tenzij Verwerker wettelijk verplicht is de Persoonsgegevens te bewaren.</w:t>
      </w:r>
    </w:p>
    <w:p>
      <w:r>
        <w:t>9.2 Bij het eindigen van deze Verwerkersovereenkomst zal Verwerker op eigen kosten, op verzoek en ter keuze van Verwerkingsverantwoordelijke binnen een redelijke termijn alle Persoonsgegevens aan Verwerkingsverantwoordelijke (i) ter beschikking stellen in een in overleg met Verwerkingsverantwoordelijke te bepalen gangbaar formaat en vervolgens alle bestaande kopieën wissen of (ii) alle Persoonsgegevens wissen, tenzij opslag voor Verwerker verplicht is op grond van een wettelijke verplichting.</w:t>
      </w:r>
    </w:p>
    <w:p>
      <w:r>
        <w:t>9.3 Verwerker zal na de teruggave en/of vernietiging op verzoek van de Verwerker van de Persoonsgegevens schriftelijk aan Verwerkingsverantwoordelijke verklaren niet langer in het bezit te zijn van de Persoonsgegevens en/of in voorkomend geval verklaren op grond van welke wet en ten aanzien van welke Persoonsgegevens hij verplicht is tot opslag.</w:t>
      </w:r>
    </w:p>
    <w:p>
      <w:r>
        <w:t>9.4 Verwerker is eveneens verantwoordelijk voor een gelijke naleving van dit artikel 9 door eventuele sub-verwerkers.</w:t>
      </w:r>
    </w:p>
    <w:p>
      <w:pPr>
        <w:pStyle w:val="Heading1"/>
      </w:pPr>
      <w:r>
        <w:t>10. Slotbepalingen</w:t>
      </w:r>
    </w:p>
    <w:p>
      <w:r>
        <w:t>10.1 Deze Verwerkersovereenkomst is onderdeel van de Overeenkomst. Alle rechten en verplichtingen uit de Overeenkomst zijn daarom ook van toepassing op de Verwerkersovereenkomst.</w:t>
      </w:r>
    </w:p>
    <w:p>
      <w:r>
        <w:t>10.2 Bij eventuele tegenstrijdigheden tussen de bepalingen in de Verwerkersovereenkomst en de Overeenkomst, gelden de bepalingen uit deze Verwerkersovereenkomst ten aanzien van de verwerking van Persoonsgegevens.</w:t>
      </w:r>
    </w:p>
    <w:p>
      <w:r>
        <w:t>10.3 Afwijkingen van deze Verwerkersovereenkomst zijn slechts geldig wanneer Partijen dit samen schriftelijk afspreken.</w:t>
      </w:r>
    </w:p>
    <w:p>
      <w:pPr>
        <w:pStyle w:val="Heading1"/>
      </w:pPr>
      <w:r>
        <w:t>Aldus door Partijen overeengekomen en ondertekend:</w:t>
      </w:r>
    </w:p>
    <w:tbl>
      <w:tblPr>
        <w:tblStyle w:val="TableGrid"/>
        <w:tblW w:type="auto" w:w="0"/>
        <w:tblLook w:firstColumn="1" w:firstRow="1" w:lastColumn="0" w:lastRow="0" w:noHBand="0" w:noVBand="1" w:val="04A0"/>
      </w:tblPr>
      <w:tblGrid>
        <w:gridCol w:w="4320"/>
        <w:gridCol w:w="4320"/>
      </w:tblGrid>
      <w:tr>
        <w:tc>
          <w:tcPr>
            <w:tcW w:type="dxa" w:w="4320"/>
          </w:tcPr>
          <w:p>
            <w:r>
              <w:t>Verwerkingsverantwoordelijke</w:t>
            </w:r>
          </w:p>
        </w:tc>
        <w:tc>
          <w:tcPr>
            <w:tcW w:type="dxa" w:w="4320"/>
          </w:tcPr>
          <w:p>
            <w:r>
              <w:t>Verwerker</w:t>
            </w:r>
          </w:p>
        </w:tc>
      </w:tr>
      <w:tr>
        <w:tc>
          <w:tcPr>
            <w:tcW w:type="dxa" w:w="4320"/>
          </w:tcPr>
          <w:p>
            <w:r>
              <w:t>Ondertekend voor en namens Woningcorporatie Voorbeeldwonen</w:t>
            </w:r>
          </w:p>
        </w:tc>
        <w:tc>
          <w:tcPr>
            <w:tcW w:type="dxa" w:w="4320"/>
          </w:tcPr>
          <w:p>
            <w:r>
              <w:t>Ondertekend voor en namens Onderhoudsbedrijf Fictief BV</w:t>
            </w:r>
          </w:p>
        </w:tc>
      </w:tr>
      <w:tr>
        <w:tc>
          <w:tcPr>
            <w:tcW w:type="dxa" w:w="4320"/>
          </w:tcPr>
          <w:p>
            <w:r>
              <w:t>Naam/functie: de directeur-bestuurder</w:t>
            </w:r>
          </w:p>
        </w:tc>
        <w:tc>
          <w:tcPr>
            <w:tcW w:type="dxa" w:w="4320"/>
          </w:tcPr>
          <w:p>
            <w:r>
              <w:t>Naam/functie: de algemeen directeur</w:t>
            </w:r>
          </w:p>
        </w:tc>
      </w:tr>
      <w:tr>
        <w:tc>
          <w:tcPr>
            <w:tcW w:type="dxa" w:w="4320"/>
          </w:tcPr>
          <w:p>
            <w:r>
              <w:t>Datum en plaats: &lt;datum en plaats&gt;</w:t>
            </w:r>
          </w:p>
        </w:tc>
        <w:tc>
          <w:tcPr>
            <w:tcW w:type="dxa" w:w="4320"/>
          </w:tcPr>
          <w:p>
            <w:r>
              <w:t>Datum en plaats: &lt;datum en plaats&gt;</w:t>
            </w:r>
          </w:p>
        </w:tc>
      </w:tr>
      <w:tr>
        <w:tc>
          <w:tcPr>
            <w:tcW w:type="dxa" w:w="4320"/>
          </w:tcPr>
          <w:p>
            <w:r>
              <w:t>Handtekening:</w:t>
            </w:r>
          </w:p>
        </w:tc>
        <w:tc>
          <w:tcPr>
            <w:tcW w:type="dxa" w:w="4320"/>
          </w:tcPr>
          <w:p>
            <w:r>
              <w:t>Handtekening:</w:t>
            </w:r>
          </w:p>
        </w:tc>
      </w:tr>
    </w:tbl>
    <w:p>
      <w:r>
        <w:t>Dit concept is gebaseerd op het sjabloon verwerkersovereenkomst uit de AVG Routeplanner voor woningcorporaties (Aedes, ontwikkeld door Privacy Company), versie 1.3 van 12 september 2023. De artikelen zijn ongewijzigd overgenomen; de bijlagen zijn ingevuld met Datavoogd. De invulling is een voorstel dat de verwerkingsverantwoordelijke en de functionaris voor gegevensbescherming beoordelen.</w:t>
      </w:r>
    </w:p>
    <w:p>
      <w:r>
        <w:br w:type="page"/>
      </w:r>
    </w:p>
    <w:p>
      <w:pPr>
        <w:pStyle w:val="Heading1"/>
      </w:pPr>
      <w:r>
        <w:t>Bijlage 1: Overzicht met verwerkingen van Persoonsgegevens en verwerkingsdoelen</w:t>
      </w:r>
    </w:p>
    <w:p>
      <w:r>
        <w:t>Het onderstaande schema wordt ingevuld elke keer dat een Verwerkersovereenkomst wordt gesloten. Het geeft een volledig overzicht van de Persoonsgegevens die verwerkt zullen worden, zodat aantoonbaar is waar, door wie en voor welk doel de Persoonsgegevens worden verwerkt.</w:t>
      </w:r>
    </w:p>
    <w:p>
      <w:r>
        <w:t>Voor welke specifieke diensten heeft de verwerker persoonsgegevens nodig?</w:t>
      </w:r>
    </w:p>
    <w:p>
      <w:r>
        <w:t>☐ Het uitvoeren van reparatie- of onderhoudswerkzaamheden</w:t>
      </w:r>
    </w:p>
    <w:p>
      <w:r>
        <w:t>☒ Anders, namelijk: Uitvoeren van dagelijks onderhoud en reparatieverzoeken aan huurwoningen; Afspraken maken met bewoners over reparatiebezoeken; Facturatie van uitgevoerde werkzaamheden aan de corporatie; Gebruik van de planningsapplicatie van Planningsoftware Fictief BV voor het inplannen van opdrachten</w:t>
      </w:r>
    </w:p>
    <w:p>
      <w:r>
        <w:t>De (sub)verwerker heeft de persoonsgegevens nodig voor de volgende werkzaamheden (aard en doeleinde):</w:t>
      </w:r>
    </w:p>
    <w:p>
      <w:r>
        <w:t>☐ Het maken van afspraken (bijvoorbeeld voor reparatie- of onderhoudswerkzaamheden)</w:t>
      </w:r>
    </w:p>
    <w:p>
      <w:r>
        <w:t>☐ Het sturen van een factuur</w:t>
      </w:r>
    </w:p>
    <w:p>
      <w:r>
        <w:t>☐ Het hosten van een website</w:t>
      </w:r>
    </w:p>
    <w:p>
      <w:r>
        <w:t>☐ Het leveren van een dienst aan de bewoner (bijvoorbeeld het monitoren van het energieverbruik)</w:t>
      </w:r>
    </w:p>
    <w:p>
      <w:r>
        <w:t>☒ Anders, namelijk: Ontvangen en verwerken van reparatieopdrachten van de corporatie; Contact opnemen met de bewoner en een afspraak inplannen voor het bezoek; Uitvoeren van de reparatie op het adres van de bewoner; Vastleggen en afhandelen van de opdracht en factureren aan de corporatie</w:t>
      </w:r>
    </w:p>
    <w:p>
      <w:r>
        <w:t>Autorisatie: aantal personen en bijbehorende functies die toegang hebben tot de gegevens bij verwerker:</w:t>
      </w:r>
    </w:p>
    <w:tbl>
      <w:tblPr>
        <w:tblStyle w:val="TableGrid"/>
        <w:tblW w:type="auto" w:w="0"/>
        <w:tblLook w:firstColumn="1" w:firstRow="1" w:lastColumn="0" w:lastRow="0" w:noHBand="0" w:noVBand="1" w:val="04A0"/>
      </w:tblPr>
      <w:tblGrid>
        <w:gridCol w:w="4320"/>
        <w:gridCol w:w="4320"/>
      </w:tblGrid>
      <w:tr>
        <w:tc>
          <w:tcPr>
            <w:tcW w:type="dxa" w:w="4320"/>
          </w:tcPr>
          <w:p>
            <w:r>
              <w:t>Aantal</w:t>
            </w:r>
          </w:p>
        </w:tc>
        <w:tc>
          <w:tcPr>
            <w:tcW w:type="dxa" w:w="4320"/>
          </w:tcPr>
          <w:p>
            <w:r>
              <w:t>Functie</w:t>
            </w:r>
          </w:p>
        </w:tc>
      </w:tr>
      <w:tr>
        <w:tc>
          <w:tcPr>
            <w:tcW w:type="dxa" w:w="4320"/>
          </w:tcPr>
          <w:p>
            <w:r>
              <w:t>6</w:t>
            </w:r>
          </w:p>
        </w:tc>
        <w:tc>
          <w:tcPr>
            <w:tcW w:type="dxa" w:w="4320"/>
          </w:tcPr>
          <w:p>
            <w:r>
              <w:t>Planners en monteurs</w:t>
            </w:r>
          </w:p>
        </w:tc>
      </w:tr>
    </w:tbl>
    <w:p>
      <w:r>
        <w:t>Van wie zijn de persoonsgegevens (categorieën betrokkenen) en een inschatting van het aantal:</w:t>
      </w:r>
    </w:p>
    <w:tbl>
      <w:tblPr>
        <w:tblStyle w:val="TableGrid"/>
        <w:tblW w:type="auto" w:w="0"/>
        <w:tblLook w:firstColumn="1" w:firstRow="1" w:lastColumn="0" w:lastRow="0" w:noHBand="0" w:noVBand="1" w:val="04A0"/>
      </w:tblPr>
      <w:tblGrid>
        <w:gridCol w:w="4320"/>
        <w:gridCol w:w="4320"/>
      </w:tblGrid>
      <w:tr>
        <w:tc>
          <w:tcPr>
            <w:tcW w:type="dxa" w:w="4320"/>
          </w:tcPr>
          <w:p>
            <w:r>
              <w:t>Categorie betrokkenen</w:t>
            </w:r>
          </w:p>
        </w:tc>
        <w:tc>
          <w:tcPr>
            <w:tcW w:type="dxa" w:w="4320"/>
          </w:tcPr>
          <w:p>
            <w:r>
              <w:t>Aantal</w:t>
            </w:r>
          </w:p>
        </w:tc>
      </w:tr>
      <w:tr>
        <w:tc>
          <w:tcPr>
            <w:tcW w:type="dxa" w:w="4320"/>
          </w:tcPr>
          <w:p>
            <w:r>
              <w:t>Bewoners/huurders van de corporatie</w:t>
            </w:r>
          </w:p>
        </w:tc>
        <w:tc>
          <w:tcPr>
            <w:tcW w:type="dxa" w:w="4320"/>
          </w:tcPr>
          <w:p>
            <w:r>
              <w:t>circa 4.000 huishoudens</w:t>
            </w:r>
          </w:p>
        </w:tc>
      </w:tr>
    </w:tbl>
    <w:p>
      <w:r>
        <w:t>Welke persoonsgegevens van welke categorieën worden verwerkt, en voor welke periode:</w:t>
      </w:r>
    </w:p>
    <w:tbl>
      <w:tblPr>
        <w:tblStyle w:val="TableGrid"/>
        <w:tblW w:type="auto" w:w="0"/>
        <w:tblLook w:firstColumn="1" w:firstRow="1" w:lastColumn="0" w:lastRow="0" w:noHBand="0" w:noVBand="1" w:val="04A0"/>
      </w:tblPr>
      <w:tblGrid>
        <w:gridCol w:w="2880"/>
        <w:gridCol w:w="2880"/>
        <w:gridCol w:w="2880"/>
      </w:tblGrid>
      <w:tr>
        <w:tc>
          <w:tcPr>
            <w:tcW w:type="dxa" w:w="2880"/>
          </w:tcPr>
          <w:p>
            <w:r>
              <w:t>Persoonsgegevens</w:t>
            </w:r>
          </w:p>
        </w:tc>
        <w:tc>
          <w:tcPr>
            <w:tcW w:type="dxa" w:w="2880"/>
          </w:tcPr>
          <w:p>
            <w:r>
              <w:t>Categorie betrokkenen</w:t>
            </w:r>
          </w:p>
        </w:tc>
        <w:tc>
          <w:tcPr>
            <w:tcW w:type="dxa" w:w="2880"/>
          </w:tcPr>
          <w:p>
            <w:r>
              <w:t>Bewaartermijn</w:t>
            </w:r>
          </w:p>
        </w:tc>
      </w:tr>
      <w:tr>
        <w:tc>
          <w:tcPr>
            <w:tcW w:type="dxa" w:w="2880"/>
          </w:tcPr>
          <w:p>
            <w:r>
              <w:t>Voornaam</w:t>
            </w:r>
          </w:p>
        </w:tc>
        <w:tc>
          <w:tcPr>
            <w:tcW w:type="dxa" w:w="2880"/>
          </w:tcPr>
          <w:p>
            <w:r>
              <w:t>Bewoners/huurders</w:t>
            </w:r>
          </w:p>
        </w:tc>
        <w:tc>
          <w:tcPr>
            <w:tcW w:type="dxa" w:w="2880"/>
          </w:tcPr>
          <w:p>
            <w:r>
              <w:t>2 jaar na afronding van de opdracht</w:t>
            </w:r>
          </w:p>
        </w:tc>
      </w:tr>
      <w:tr>
        <w:tc>
          <w:tcPr>
            <w:tcW w:type="dxa" w:w="2880"/>
          </w:tcPr>
          <w:p>
            <w:r>
              <w:t>Achternaam</w:t>
            </w:r>
          </w:p>
        </w:tc>
        <w:tc>
          <w:tcPr>
            <w:tcW w:type="dxa" w:w="2880"/>
          </w:tcPr>
          <w:p>
            <w:r>
              <w:t>Bewoners/huurders</w:t>
            </w:r>
          </w:p>
        </w:tc>
        <w:tc>
          <w:tcPr>
            <w:tcW w:type="dxa" w:w="2880"/>
          </w:tcPr>
          <w:p>
            <w:r>
              <w:t>2 jaar na afronding van de opdracht</w:t>
            </w:r>
          </w:p>
        </w:tc>
      </w:tr>
      <w:tr>
        <w:tc>
          <w:tcPr>
            <w:tcW w:type="dxa" w:w="2880"/>
          </w:tcPr>
          <w:p>
            <w:r>
              <w:t>Adres</w:t>
            </w:r>
          </w:p>
        </w:tc>
        <w:tc>
          <w:tcPr>
            <w:tcW w:type="dxa" w:w="2880"/>
          </w:tcPr>
          <w:p>
            <w:r>
              <w:t>Bewoners/huurders</w:t>
            </w:r>
          </w:p>
        </w:tc>
        <w:tc>
          <w:tcPr>
            <w:tcW w:type="dxa" w:w="2880"/>
          </w:tcPr>
          <w:p>
            <w:r>
              <w:t>2 jaar na afronding van de opdracht</w:t>
            </w:r>
          </w:p>
        </w:tc>
      </w:tr>
      <w:tr>
        <w:tc>
          <w:tcPr>
            <w:tcW w:type="dxa" w:w="2880"/>
          </w:tcPr>
          <w:p>
            <w:r>
              <w:t>Telefoonnummer</w:t>
            </w:r>
          </w:p>
        </w:tc>
        <w:tc>
          <w:tcPr>
            <w:tcW w:type="dxa" w:w="2880"/>
          </w:tcPr>
          <w:p>
            <w:r>
              <w:t>Bewoners/huurders</w:t>
            </w:r>
          </w:p>
        </w:tc>
        <w:tc>
          <w:tcPr>
            <w:tcW w:type="dxa" w:w="2880"/>
          </w:tcPr>
          <w:p>
            <w:r>
              <w:t>2 jaar na afronding van de opdracht</w:t>
            </w:r>
          </w:p>
        </w:tc>
      </w:tr>
      <w:tr>
        <w:tc>
          <w:tcPr>
            <w:tcW w:type="dxa" w:w="2880"/>
          </w:tcPr>
          <w:p>
            <w:r>
              <w:t>E-mailadres</w:t>
            </w:r>
          </w:p>
        </w:tc>
        <w:tc>
          <w:tcPr>
            <w:tcW w:type="dxa" w:w="2880"/>
          </w:tcPr>
          <w:p>
            <w:r>
              <w:t>Bewoners/huurders</w:t>
            </w:r>
          </w:p>
        </w:tc>
        <w:tc>
          <w:tcPr>
            <w:tcW w:type="dxa" w:w="2880"/>
          </w:tcPr>
          <w:p>
            <w:r>
              <w:t>2 jaar na afronding van de opdracht</w:t>
            </w:r>
          </w:p>
        </w:tc>
      </w:tr>
      <w:tr>
        <w:tc>
          <w:tcPr>
            <w:tcW w:type="dxa" w:w="2880"/>
          </w:tcPr>
          <w:p>
            <w:r>
              <w:t>Anders: omschrijving van het gebrek en gegevens over de opdracht/afspraak</w:t>
            </w:r>
          </w:p>
        </w:tc>
        <w:tc>
          <w:tcPr>
            <w:tcW w:type="dxa" w:w="2880"/>
          </w:tcPr>
          <w:p>
            <w:r>
              <w:t>Bewoners/huurders</w:t>
            </w:r>
          </w:p>
        </w:tc>
        <w:tc>
          <w:tcPr>
            <w:tcW w:type="dxa" w:w="2880"/>
          </w:tcPr>
          <w:p>
            <w:r>
              <w:t>2 jaar na afronding van de opdracht</w:t>
            </w:r>
          </w:p>
        </w:tc>
      </w:tr>
      <w:tr>
        <w:tc>
          <w:tcPr>
            <w:tcW w:type="dxa" w:w="2880"/>
          </w:tcPr>
          <w:p>
            <w:r>
              <w:t>Anders: door de bewoner zelf gemelde bijzonderheden bij het maken van een afspraak (bijvoorbeeld dat hij slecht ter been is)</w:t>
            </w:r>
          </w:p>
        </w:tc>
        <w:tc>
          <w:tcPr>
            <w:tcW w:type="dxa" w:w="2880"/>
          </w:tcPr>
          <w:p>
            <w:r>
              <w:t>Bewoners/huurders</w:t>
            </w:r>
          </w:p>
        </w:tc>
        <w:tc>
          <w:tcPr>
            <w:tcW w:type="dxa" w:w="2880"/>
          </w:tcPr>
          <w:p>
            <w:r>
              <w:t>2 jaar na afronding van de opdracht</w:t>
            </w:r>
          </w:p>
        </w:tc>
      </w:tr>
    </w:tbl>
    <w:p>
      <w:r>
        <w:t>Bijzondere persoonsgegevens en BSN: Er wordt geen BSN verwerkt en er worden geen bijzondere persoonsgegevens opgevraagd. Wel kan een bewoner bij het maken van een afspraak uit zichzelf een gezondheidsgerelateerde bijzonderheid melden, bijvoorbeeld dat hij slecht ter been is; deze informatie wordt alleen gebruikt voor het inplannen en uitvoeren van het bezoek.</w:t>
      </w:r>
    </w:p>
    <w:p>
      <w:r>
        <w:t>Verwerkingsverantwoordelijke verleent conform artikel 3.4 toestemming aan Verwerker voor het laten uitvoeren van de volgende handelingen met persoonsgegevens door de volgende sub-verwerkers: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t>Sub-verwerker</w:t>
            </w:r>
          </w:p>
        </w:tc>
        <w:tc>
          <w:tcPr>
            <w:tcW w:type="dxa" w:w="1080"/>
          </w:tcPr>
          <w:p>
            <w:r>
              <w:t>Adres (incl. land)</w:t>
            </w:r>
          </w:p>
        </w:tc>
        <w:tc>
          <w:tcPr>
            <w:tcW w:type="dxa" w:w="1080"/>
          </w:tcPr>
          <w:p>
            <w:r>
              <w:t>KvK-nummer</w:t>
            </w:r>
          </w:p>
        </w:tc>
        <w:tc>
          <w:tcPr>
            <w:tcW w:type="dxa" w:w="1080"/>
          </w:tcPr>
          <w:p>
            <w:r>
              <w:t>Soort dienst en persoonsgegevens</w:t>
            </w:r>
          </w:p>
        </w:tc>
        <w:tc>
          <w:tcPr>
            <w:tcW w:type="dxa" w:w="1080"/>
          </w:tcPr>
          <w:p>
            <w:r>
              <w:t>VWO tussen Verwerker en Subverwerker</w:t>
            </w:r>
          </w:p>
        </w:tc>
        <w:tc>
          <w:tcPr>
            <w:tcW w:type="dxa" w:w="1080"/>
          </w:tcPr>
          <w:p>
            <w:r>
              <w:t>Locatie van gegevensverwerking</w:t>
            </w:r>
          </w:p>
        </w:tc>
        <w:tc>
          <w:tcPr>
            <w:tcW w:type="dxa" w:w="1080"/>
          </w:tcPr>
          <w:p>
            <w:r>
              <w:t>Gegevens buiten de EER</w:t>
            </w:r>
          </w:p>
        </w:tc>
        <w:tc>
          <w:tcPr>
            <w:tcW w:type="dxa" w:w="1080"/>
          </w:tcPr>
          <w:p>
            <w:r>
              <w:t>Aantal personen met toegang</w:t>
            </w:r>
          </w:p>
        </w:tc>
      </w:tr>
      <w:tr>
        <w:tc>
          <w:tcPr>
            <w:tcW w:type="dxa" w:w="1080"/>
          </w:tcPr>
          <w:p>
            <w:r>
              <w:t>Planningsoftware Fictief BV</w:t>
            </w:r>
          </w:p>
        </w:tc>
        <w:tc>
          <w:tcPr>
            <w:tcW w:type="dxa" w:w="1080"/>
          </w:tcPr>
          <w:p>
            <w:r>
              <w:t>Utrecht, Nederland</w:t>
            </w:r>
          </w:p>
        </w:tc>
        <w:tc>
          <w:tcPr>
            <w:tcW w:type="dxa" w:w="1080"/>
          </w:tcPr>
          <w:p>
            <w:r>
              <w:t>00000002</w:t>
            </w:r>
          </w:p>
        </w:tc>
        <w:tc>
          <w:tcPr>
            <w:tcW w:type="dxa" w:w="1080"/>
          </w:tcPr>
          <w:p>
            <w:r>
              <w:t>Levering en hosting van de planningsapplicatie waarin naam, adres, telefoonnummer, e-mailadres en de omschrijving van het gebrek van de bewoner worden verwerkt</w:t>
            </w:r>
          </w:p>
        </w:tc>
        <w:tc>
          <w:tcPr>
            <w:tcW w:type="dxa" w:w="1080"/>
          </w:tcPr>
          <w:p>
            <w:r>
              <w:t>ja</w:t>
            </w:r>
          </w:p>
        </w:tc>
        <w:tc>
          <w:tcPr>
            <w:tcW w:type="dxa" w:w="1080"/>
          </w:tcPr>
          <w:p>
            <w:r>
              <w:t>Nederland (EER)</w:t>
            </w:r>
          </w:p>
        </w:tc>
        <w:tc>
          <w:tcPr>
            <w:tcW w:type="dxa" w:w="1080"/>
          </w:tcPr>
          <w:p>
            <w:r>
              <w:t>Nee</w:t>
            </w:r>
          </w:p>
        </w:tc>
        <w:tc>
          <w:tcPr>
            <w:tcW w:type="dxa" w:w="1080"/>
          </w:tcPr>
          <w:p>
            <w:r>
              <w:t>&lt;aantal&gt;</w:t>
            </w:r>
          </w:p>
        </w:tc>
      </w:tr>
    </w:tbl>
    <w:p>
      <w:r>
        <w:t>Locaties waar de verwerkingen door de verwerker plaatsvinden (opslag en verwerking van gegevens, en de back-up van gegevens): Opslag, verwerking en back-up vinden plaats in Nederland (EER). De planningsapplicatie wordt gehost door Planningsoftware Fictief BV te Utrecht, Nederland.</w:t>
      </w:r>
    </w:p>
    <w:p>
      <w:r>
        <w:br w:type="page"/>
      </w:r>
    </w:p>
    <w:p>
      <w:pPr>
        <w:pStyle w:val="Heading1"/>
      </w:pPr>
      <w:r>
        <w:t>Bijlage 2: Overzicht met beveiligingsmaatregelen</w:t>
      </w:r>
    </w:p>
    <w:p>
      <w:r>
        <w:t>Verwerker c.q. leverancier Onderhoudsbedrijf Fictief BV zal blijvend alle passende technische en organisatorische maatregelen nemen om de persoonsgegevens te beveiligen tegen verlies of enige vorm van onrechtmatige verwerking. Verwerker zal zich overigens steeds houden aan de voor hem geldende verplichtingen ingevolge de AVG en de systemen technisch beheren en onderhouden.</w:t>
      </w:r>
    </w:p>
    <w:p>
      <w:r>
        <w:t>Verwerker is verplicht de verwerkte persoonsgegevens strikt gescheiden te houden van andere (persoons)gegevens (van derden en/of zichzelf).</w:t>
      </w:r>
    </w:p>
    <w:p>
      <w:r>
        <w:t>Om welk type persoonsgegevens gaat het?</w:t>
      </w:r>
    </w:p>
    <w:p>
      <w:r>
        <w:t>☐ A. Gewone persoonsgegevens, zoals: NAW-gegevens, e-mailadressen, telefoonnummers, geslacht en/of geboortedatum</w:t>
      </w:r>
    </w:p>
    <w:p>
      <w:r>
        <w:t>☒ B. Bijzondere of gevoelige persoonsgegevens: zoals strafrechtelijk verleden, etnische afkomst, politieke opvattingen, BSN, gezondheid, biometrie en/of religieuze overtuigingen (verhoogd risicoprofiel)</w:t>
      </w:r>
    </w:p>
    <w:p>
      <w:r>
        <w:t>Hoeveel personen zijn betrokken: circa 4.000 huishoudens (bewoners van circa 4.000 huurwoningen). Hoe lang worden de persoonsgegevens bewaard: 2 jaar na afronding van de opdracht.</w:t>
      </w:r>
    </w:p>
    <w:p>
      <w:r>
        <w:t>Beveiligingsmaatregelen die gebruikt worden om de persoonsgegevens te beschermen:</w:t>
      </w:r>
    </w:p>
    <w:p>
      <w:r>
        <w:t>☐ Certificering ISO 27001, NEN 7510 en/of vergelijkbaar</w:t>
      </w:r>
    </w:p>
    <w:p>
      <w:r>
        <w:t>☒ Versleuteling</w:t>
      </w:r>
    </w:p>
    <w:p>
      <w:r>
        <w:t>☐ Anonimisering</w:t>
      </w:r>
    </w:p>
    <w:p>
      <w:r>
        <w:t>☐ Pseudonimisering</w:t>
      </w:r>
    </w:p>
    <w:p>
      <w:r>
        <w:t>☐ Multi Factor Authenticatie</w:t>
      </w:r>
    </w:p>
    <w:p>
      <w:r>
        <w:t>☐ Single Sign On</w:t>
      </w:r>
    </w:p>
    <w:p>
      <w:r>
        <w:t>☒ Anders, namelijk: Certificering ISO 27001; Multifactorauthenticatie (MFA)</w:t>
      </w:r>
    </w:p>
    <w:p>
      <w:r>
        <w:t>Toelichting op de genomen beveiligingsmaatregelen: Onderhoudsbedrijf Fictief BV is ISO 27001 gecertificeerd en past versleuteling en MFA toe. De corporatie werkt volgens de Baseline Informatiebeveiliging Corporaties (BIC 2.0). Op 15 februari 2026 is een risicotoets privacy en cybersecurity uitgevoerd. Contact corporatie: privacy@voorbeeldwonen.example, 0800-0000003, AVG-mailbox avg@voorbeeldwonen.example. Contact verwerker: security@fictief.example, 0800-0000004.</w:t>
      </w:r>
    </w:p>
    <w:p>
      <w:r>
        <w:t>Beveiligingsmaatregelen vanuit Woningcorporatie Voorbeeldwonen</w:t>
      </w:r>
    </w:p>
    <w:p>
      <w:r>
        <w:t>Om persoonsgegevens van onze bewoners met een passend niveau te beschermen, neemt Woningcorporatie Voorbeeldwonen de Baseline Informatiebeveiliging woningcorporaties (BIC) versie 2.0 als uitgangspunt.</w:t>
      </w:r>
    </w:p>
    <w:p>
      <w:r>
        <w:br w:type="page"/>
      </w:r>
    </w:p>
    <w:p>
      <w:pPr>
        <w:pStyle w:val="Heading1"/>
      </w:pPr>
      <w:r>
        <w:t>Bijlage 3: Proces rondom het melden van Datalekken en de te verstrekken informatie</w:t>
      </w:r>
    </w:p>
    <w:p>
      <w:r>
        <w:t>Een datalek is een beveiligingsincident waarbij Persoonsgegevens, die de Verwerker namens de Verwerkingsverantwoordelijke beheert, mogelijk verloren zijn gegaan of onbedoeld toegankelijk waren voor derden. Bij twijfel geldt: neem het zekere voor het onzekere en neem contact op met de hieronder genoemde contactpersoon.</w:t>
      </w:r>
    </w:p>
    <w:p>
      <w:r>
        <w:t>Voorbeelden van beveiligingsincidenten die gemeld moeten worden:</w:t>
      </w:r>
    </w:p>
    <w:p>
      <w:pPr>
        <w:pStyle w:val="ListBullet"/>
      </w:pPr>
      <w:r>
        <w:t>Brieven of e-mails worden naar een verkeerd adres gestuurd.</w:t>
      </w:r>
    </w:p>
    <w:p>
      <w:pPr>
        <w:pStyle w:val="ListBullet"/>
      </w:pPr>
      <w:r>
        <w:t>De website met login-gegevens is gehackt of is toegankelijk voor derden.</w:t>
      </w:r>
    </w:p>
    <w:p>
      <w:pPr>
        <w:pStyle w:val="ListBullet"/>
      </w:pPr>
      <w:r>
        <w:t>Verlies van een laptop of USB-stick met Persoonsgegevens.</w:t>
      </w:r>
    </w:p>
    <w:p>
      <w:pPr>
        <w:pStyle w:val="ListBullet"/>
      </w:pPr>
      <w:r>
        <w:t>Salarisstroken van medewerkers zijn per ongeluk naar verkeerde personen gestuurd.</w:t>
      </w:r>
    </w:p>
    <w:p>
      <w:pPr>
        <w:pStyle w:val="ListBullet"/>
      </w:pPr>
      <w:r>
        <w:t>Een aanval van een hacker op het ICT-systeem.</w:t>
      </w:r>
    </w:p>
    <w:p>
      <w:pPr>
        <w:pStyle w:val="ListBullet"/>
      </w:pPr>
      <w:r>
        <w:t>Een verloren of gestolen telefoon waar Persoonsgegevens op aanwezig zijn.</w:t>
      </w:r>
    </w:p>
    <w:p>
      <w:r>
        <w:t>Waar meld je het beveiligingsincident? Neem direct contact op met de contactpersoon van Woningcorporatie Voorbeeldwonen:</w:t>
      </w:r>
    </w:p>
    <w:p>
      <w:r>
        <w:t>Toegewezen contactpersoon: privacy officer. Telefoonnummer: 0800-0000003. E-mailadres: privacy@voorbeeldwonen.example. Geef de gegevens ook door aan avg@voorbeeldwonen.example.</w:t>
      </w:r>
    </w:p>
    <w:p>
      <w:r>
        <w:t>Te verstrekken informatie bij een melding:</w:t>
      </w:r>
    </w:p>
    <w:p>
      <w:r>
        <w:t>1. Uw contactgegevens</w:t>
      </w:r>
    </w:p>
    <w:p>
      <w:r>
        <w:t>2. De van toepassing zijnde verwerkersovereenkomst</w:t>
      </w:r>
    </w:p>
    <w:p>
      <w:r>
        <w:t>3. Datum/tijd van incident</w:t>
      </w:r>
    </w:p>
    <w:p>
      <w:r>
        <w:t>4. Een omschrijving van het incident</w:t>
      </w:r>
    </w:p>
    <w:p>
      <w:r>
        <w:t>5. Waar het incident heeft plaatsgevonden</w:t>
      </w:r>
    </w:p>
    <w:p>
      <w:r>
        <w:t>6. Of er sprake is van verlies of diefstal; zo ja, wat en of aangifte is gedaan</w:t>
      </w:r>
    </w:p>
    <w:p>
      <w:r>
        <w:t>7. Of er mogelijk gegevens zijn gelekt of verloren gegaan; zo ja, van wie en welke gegevens</w:t>
      </w:r>
    </w:p>
    <w:p>
      <w:r>
        <w:t>8. Bewijsmateriaal zoals screenshots en e-mails</w:t>
      </w:r>
    </w:p>
    <w:p>
      <w:r>
        <w:t>Contactpersoon Onderhoudsbedrijf Fictief BV (privacy officer, security officer of functionaris gegevensbescherming): security officer. Telefoonnummer: 0800-0000004. E-mailadres: security@fictief.example.</w:t>
      </w:r>
    </w:p>
    <w:p>
      <w:r>
        <w:br w:type="page"/>
      </w:r>
    </w:p>
    <w:p>
      <w:pPr>
        <w:pStyle w:val="Heading1"/>
      </w:pPr>
      <w:r>
        <w:t>Bijlage 4: Risicotoets Privacy en Cybersecurity en afspraken rondom maatregelen</w:t>
      </w:r>
    </w:p>
    <w:p>
      <w:r>
        <w:t>Verwerkingsverantwoordelijke heeft op 15 februari 2026 een Risicotoets Privacy en Cybersecurity afgenomen rondom de in deze verwerkersovereenkomst omschreven diensten en het hieruit voortkomende gebruik van persoonsgegevens. De ingevulde toets is als bijlage bijgevoegd. Partijen conformeren zich aan de afspraken zoals opgenomen in de rapportage. Partijen spreken af binnen 12 maanden de toets te actualiseren.</w:t>
      </w:r>
    </w:p>
    <w:p>
      <w:pPr>
        <w:pStyle w:val="Heading1"/>
      </w:pPr>
      <w:r>
        <w:t>Bijlage 5: Standard Contractual Clauses, inclusief Data Transfer Impact Assessment (SCC's + DTIA)</w:t>
      </w:r>
    </w:p>
    <w:p>
      <w:r>
        <w:t>Niet van toepassing: alle verwerking, inclusief die door Subverwerkers, vindt plaats binnen de EER (zie Bijlage 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B4A9DC28AA784FA26290B7E76D52C9" ma:contentTypeVersion="12" ma:contentTypeDescription="Een nieuw document maken." ma:contentTypeScope="" ma:versionID="280692e816f42206e799d52b28503fc0">
  <xsd:schema xmlns:xsd="http://www.w3.org/2001/XMLSchema" xmlns:xs="http://www.w3.org/2001/XMLSchema" xmlns:p="http://schemas.microsoft.com/office/2006/metadata/properties" xmlns:ns2="c54c211f-0a4b-4d6f-8f54-6d1ce372df47" xmlns:ns3="f4713caf-6d21-4cad-9db8-1b9fa2ebd223" targetNamespace="http://schemas.microsoft.com/office/2006/metadata/properties" ma:root="true" ma:fieldsID="b1525b08cc887147b2effc314784d3a4" ns2:_="" ns3:_="">
    <xsd:import namespace="c54c211f-0a4b-4d6f-8f54-6d1ce372df47"/>
    <xsd:import namespace="f4713caf-6d21-4cad-9db8-1b9fa2ebd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c211f-0a4b-4d6f-8f54-6d1ce372d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469c126-3328-452a-a7a2-03bd769b29a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713caf-6d21-4cad-9db8-1b9fa2ebd2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672642-9c21-4fb0-a437-c2d821d73b32}" ma:internalName="TaxCatchAll" ma:showField="CatchAllData" ma:web="f4713caf-6d21-4cad-9db8-1b9fa2ebd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4c211f-0a4b-4d6f-8f54-6d1ce372df47">
      <Terms xmlns="http://schemas.microsoft.com/office/infopath/2007/PartnerControls"/>
    </lcf76f155ced4ddcb4097134ff3c332f>
    <TaxCatchAll xmlns="f4713caf-6d21-4cad-9db8-1b9fa2ebd22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34AF98D-7BD7-42F1-8288-9D19C635D4F6}"/>
</file>

<file path=customXml/itemProps3.xml><?xml version="1.0" encoding="utf-8"?>
<ds:datastoreItem xmlns:ds="http://schemas.openxmlformats.org/officeDocument/2006/customXml" ds:itemID="{3F466811-20A4-4D40-ADD2-C65968554413}"/>
</file>

<file path=customXml/itemProps4.xml><?xml version="1.0" encoding="utf-8"?>
<ds:datastoreItem xmlns:ds="http://schemas.openxmlformats.org/officeDocument/2006/customXml" ds:itemID="{BBC91BA5-7244-448B-AF5B-BACE2721AA06}"/>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0x01010027B4A9DC28AA784FA26290B7E76D52C9</vt:lpwstr>
  </property>
</Properties>
</file>