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Standaard Verwerkersovereenkomst Gemeenten</w:t>
      </w:r>
    </w:p>
    <w:p>
      <w:r>
        <w:t>Verwerkersovereenkomst uitvoering Hoofdovereenkomst HO-2024-017 van 1 maart 2024 (levering en beheer app meldingen woonoverlast / zaaksysteem Voorbeeldzaak)</w:t>
      </w:r>
    </w:p>
    <w:p>
      <w:r>
        <w:t>Versie 2.54 (15 april 2026). Gebaseerd op de Standaard Verwerkersovereenkomst Gemeenten, versie 2.54 (15 april 2026), Vereniging van Nederlandse Gemeenten / Informatiebeveiligingsdienst voor gemeenten, licentie CC BY-NC-SA 4.0. Concept opgesteld met Datavoogd; de Functionaris Gegevensbescherming beoordeelt en tekent.</w:t>
      </w:r>
    </w:p>
    <w:p>
      <w:pPr>
        <w:pStyle w:val="Heading1"/>
      </w:pPr>
      <w:r>
        <w:t>Partijen</w:t>
      </w:r>
    </w:p>
    <w:p>
      <w:r>
        <w:t>Gemeente Voorbeeldstad, waarvan het college van Burgemeester en Wethouders de verwerkingsverantwoordelijke is, verder te noemen Verwerkingsverantwoordelijke, hierbij rechtsgeldig vertegenwoordigd door de directeur Bedrijfsvoering</w:t>
      </w:r>
    </w:p>
    <w:p>
      <w:r>
        <w:t>en</w:t>
      </w:r>
    </w:p>
    <w:p>
      <w:r>
        <w:t>Leverancier Fictief BV, gevestigd te Almere, KVK-nummer 00000000, verder te noemen Verwerker, hierbij rechtsgeldig vertegenwoordigd door de algemeen directeur,</w:t>
      </w:r>
    </w:p>
    <w:p>
      <w:r>
        <w:t>hierna afzonderlijk te noemen “Partij”, of gezamenlijk “Partijen”</w:t>
      </w:r>
    </w:p>
    <w:p>
      <w:pPr>
        <w:pStyle w:val="Heading1"/>
      </w:pPr>
      <w:r>
        <w:t>Overwegen het volgende:</w:t>
      </w:r>
    </w:p>
    <w:p>
      <w:r>
        <w:t>Partijen hebben op 1 maart 2024 de Hoofdovereenkomst HO-2024-017 van 1 maart 2024 (levering en beheer app meldingen woonoverlast / zaaksysteem Voorbeeldzaak), hierna Hoofdovereenkomst, afgesloten, op grond waarvan Verwerker de volgende dienst(en) levert aan de Verwerkingsverantwoordelijke: Leverancier Fictief BV levert en beheert een app waarmee inwoners meldingen van woonoverlast doen, inclusief hosting in Nederland en applicatiebeheer via het zaaksysteem Voorbeeldzaak.;</w:t>
      </w:r>
    </w:p>
    <w:p>
      <w:r>
        <w:t>Verwerker verwerkt voor de uitvoering van de Hoofdovereenkomst Persoonsgegevens voor Verwerkingsverantwoordelijke;</w:t>
      </w:r>
    </w:p>
    <w:p>
      <w:r>
        <w:t>Op de verwerking van Persoonsgegevens door Verwerker zijn de Algemene Verordening Gegevensbescherming (AVG) en de Uitvoeringswet AVG (UAVG) van toepassing;</w:t>
      </w:r>
    </w:p>
    <w:p>
      <w:r>
        <w:t>Partijen willen in aanvulling op de AVG en de UAVG de volgende afspraken over de verwerking van Persoonsgegevens vastleggen in deze verwerkersovereenkomst (hierna: de Verwerkersovereenkomst);</w:t>
      </w:r>
    </w:p>
    <w:p>
      <w:r>
        <w:t>En komen het volgende overeen:</w:t>
      </w:r>
    </w:p>
    <w:p>
      <w:pPr>
        <w:pStyle w:val="Heading1"/>
      </w:pPr>
      <w:r>
        <w:t>Artikel 1 Definities</w:t>
      </w:r>
    </w:p>
    <w:p>
      <w:r>
        <w:t>1.1 Begrippen uit de AVG en de UAVG die in deze Verwerkersovereenkomst worden gebruikt, hebben dezelfde betekenis.</w:t>
      </w:r>
    </w:p>
    <w:p>
      <w:r>
        <w:t>1.2 Bijlagen: aanhangsels bij deze Verwerkersovereenkomst, die onlosmakelijk deel uitmaken van deze Verwerkersovereenkomst.</w:t>
      </w:r>
    </w:p>
    <w:p>
      <w:pPr>
        <w:pStyle w:val="Heading1"/>
      </w:pPr>
      <w:r>
        <w:t>Artikel 2 Ingangsdatum en duur</w:t>
      </w:r>
    </w:p>
    <w:p>
      <w:r>
        <w:t>2.1 Deze Verwerkersovereenkomst gaat in op het moment dat de Hoofdovereenkomst tot stand is gekomen, tenzij Partijen anders overeenkomen.</w:t>
      </w:r>
    </w:p>
    <w:p>
      <w:r>
        <w:t>2.2 Deze Verwerkersovereenkomst eindigt op het moment dat Verwerker de verwerking van Persoonsgegevens op grond van de Hoofdovereenkomst heeft beëindigd en de afspraken over het teruggeven en/of wissen van Persoonsgegevens zijn nagekomen.</w:t>
      </w:r>
    </w:p>
    <w:p>
      <w:r>
        <w:t>2.3 Wanneer Partijen een (nieuwe) Verwerkersovereenkomst overeenkomen, betekent dat dat de oude Verwerkersovereenkomst komt te vervallen.</w:t>
      </w:r>
    </w:p>
    <w:p>
      <w:pPr>
        <w:pStyle w:val="Heading1"/>
      </w:pPr>
      <w:r>
        <w:t>Artikel 3 Onderwerp van deze Verwerkersovereenkomst</w:t>
      </w:r>
    </w:p>
    <w:p>
      <w:r>
        <w:t>3.1 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r>
        <w:t>3.2 De door Verwerker uit te voeren verwerkingen staan beschreven in tabel 1 van Bijlage 1.</w:t>
      </w:r>
    </w:p>
    <w:p>
      <w:pPr>
        <w:pStyle w:val="Heading1"/>
      </w:pPr>
      <w:r>
        <w:t>Artikel 4 Inhoudelijke afspraken</w:t>
      </w:r>
    </w:p>
    <w:p>
      <w:r>
        <w:t>4.1 Beveiligingsmaatregelen Verwerker zorgt voor passende technische en organisatorische maatregelen om de Persoonsgegevens goed te beveiligen, zoals bedoeld in artikel 32 AVG. De wijze waarop Verwerker de passende technische en organisatorische maatregelen aantoont, staat in Bijlage 2.</w:t>
      </w:r>
    </w:p>
    <w:p>
      <w:r>
        <w:t>4.2 Audits 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r>
        <w:t>4.3 Verwerking buiten de EER 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r>
        <w:t>4.4 Geheimhouding 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r>
        <w:t>4.5 Subverwerkers 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r>
        <w:t>4.6 Rechten van betrokkenen Als een betrokkene een beroep doet op zijn rechten zoals genoemd in artikel 12 t/m 22 AVG, helpt Verwerker Verwerkingsverantwoordelijke om daarop binnen de wettelijke termijnen een beslissing te nemen.</w:t>
      </w:r>
    </w:p>
    <w:p>
      <w:r>
        <w:t>4.7 Gegevensbeschermingseffectbeoordeling en voorafgaande raadpleging Op verzoek van Verwerkingsverantwoordelijke werkt Verwerker altijd mee aan een gegevensbeschermingseffectbeoordeling (DPIA) en een voorafgaande raadpleging als bedoeld in artikel 35 en 36 AVG.</w:t>
      </w:r>
    </w:p>
    <w:p>
      <w:pPr>
        <w:pStyle w:val="Heading1"/>
      </w:pPr>
      <w:r>
        <w:t>Artikel 5 Inbreuk in verband met Persoonsgegevens</w:t>
      </w:r>
    </w:p>
    <w:p>
      <w:r>
        <w:t>5.1 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
        <w:t>5.2 In geval van een Inbreuk neemt Verwerker zonder onredelijke vertraging alle maatregelen om de Inbreuk te herstellen, de gevolgen daarvan te beperken en verdere Inbreuken te voorkomen en houdt de Verwerkingsverantwoordelijke hiervan voortdurend op de hoogte.</w:t>
      </w:r>
    </w:p>
    <w:p>
      <w:r>
        <w:t>5.3 Verwerker heeft een gedetailleerd logboek van de Inbreuken en de maatregelen die op Inbreuken zijn genomen. Verwerkingsverantwoordelijke mag dat inzien, wanneer deze daarom vraagt.</w:t>
      </w:r>
    </w:p>
    <w:p>
      <w:r>
        <w:t>5.4 Verwerkingsverantwoordelijke beslist of de Inbreuk moet worden gemeld bij de toezichthoudende autoriteit en/of Betrokkene. Verwerker ondersteunt de Verwerkingsverantwoordelijke waar nodig bij de melding aan de toezichthoudende autoriteit en/of Betrokkene.</w:t>
      </w:r>
    </w:p>
    <w:p>
      <w:pPr>
        <w:pStyle w:val="Heading1"/>
      </w:pPr>
      <w:r>
        <w:t>Artikel 6 Aansprakelijkheid</w:t>
      </w:r>
    </w:p>
    <w:p>
      <w:r>
        <w:t>6.1 Eventuele in de Hoofdovereenkomst overeengekomen beperkingen van de aansprakelijkheid hebben ook betrekking op de Verwerkersovereenkomst.</w:t>
      </w:r>
    </w:p>
    <w:p>
      <w:pPr>
        <w:pStyle w:val="Heading1"/>
      </w:pPr>
      <w:r>
        <w:t>Artikel 7 Beëindigen verwerkersovereenkomst</w:t>
      </w:r>
    </w:p>
    <w:p>
      <w:r>
        <w:t>7.1 Partijen moeten in de Hoofdovereenkomst afspraken maken over de beëindiging van de Hoofdovereenkomst en de daaruit voortvloeiende teruggave en wissing van Persoonsgegevens.</w:t>
      </w:r>
    </w:p>
    <w:p>
      <w:r>
        <w:t>7.2 De geheimhouding geldt ook nog na beëindiging van deze Verwerkersovereenkomst.</w:t>
      </w:r>
    </w:p>
    <w:p>
      <w:pPr>
        <w:pStyle w:val="Heading1"/>
      </w:pPr>
      <w:r>
        <w:t>Artikel 8 Overige bepalingen</w:t>
      </w:r>
    </w:p>
    <w:p>
      <w:r>
        <w:t>8.1 Op deze overeenkomst is Nederlands recht van toepassing. Alle geschillen, ook als alleen één Partij vindt dat er een geschil is, zullen in eerste instantie worden voorgelegd aan dezelfde bevoegde rechter als genoemd in de Hoofdovereenkomst.</w:t>
      </w:r>
    </w:p>
    <w:p>
      <w:pPr>
        <w:pStyle w:val="Heading1"/>
      </w:pPr>
      <w:r>
        <w:t>Ondertekening</w:t>
      </w:r>
    </w:p>
    <w:p>
      <w:r>
        <w:t>Aldus overeengekomen en in tweevoud ondertekend,</w:t>
      </w:r>
    </w:p>
    <w:p>
      <w:r>
        <w:t>Ingangsdatum: 1 maart 2024</w:t>
      </w:r>
    </w:p>
    <w:p>
      <w:r>
        <w:t>Gemeente Voorbeeldstad, namens deze: de directeur Bedrijfsvoering, plaats: &lt;plaats&gt;, datum: &lt;datum&gt;</w:t>
      </w:r>
    </w:p>
    <w:p>
      <w:r>
        <w:t>Leverancier Fictief BV, namens deze: de algemeen directeur, plaats: &lt;plaats&gt;, datum: &lt;datum&gt;</w:t>
      </w:r>
    </w:p>
    <w:p>
      <w:r>
        <w:br w:type="page"/>
      </w:r>
    </w:p>
    <w:p>
      <w:pPr>
        <w:pStyle w:val="Heading1"/>
      </w:pPr>
      <w:r>
        <w:t>Bijlage 1: Overzicht van te verwerken persoonsgegevens, contactgegevens partijen en overzicht ingeschakelde subverwerkers</w:t>
      </w:r>
    </w:p>
    <w:p>
      <w:r>
        <w:t>Tabel 1: Naam verwerking, doeleinden, categorieën van betrokkenen, categorieën persoonsgegevens en eventuele doorgifte naar derde landen.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t>Naam verwerking/Welke dienst en/of product</w:t>
            </w:r>
          </w:p>
        </w:tc>
        <w:tc>
          <w:tcPr>
            <w:tcW w:type="dxa" w:w="1234"/>
          </w:tcPr>
          <w:p>
            <w:r>
              <w:t>Verwerkings-doeleinden</w:t>
            </w:r>
          </w:p>
        </w:tc>
        <w:tc>
          <w:tcPr>
            <w:tcW w:type="dxa" w:w="1234"/>
          </w:tcPr>
          <w:p>
            <w:r>
              <w:t>Categorieën van betrokkenen</w:t>
            </w:r>
          </w:p>
        </w:tc>
        <w:tc>
          <w:tcPr>
            <w:tcW w:type="dxa" w:w="1234"/>
          </w:tcPr>
          <w:p>
            <w:r>
              <w:t>(Bijzondere) persoonsgegevens</w:t>
            </w:r>
          </w:p>
        </w:tc>
        <w:tc>
          <w:tcPr>
            <w:tcW w:type="dxa" w:w="1234"/>
          </w:tcPr>
          <w:p>
            <w:r>
              <w:t>Verwerkings-locatie</w:t>
            </w:r>
          </w:p>
        </w:tc>
        <w:tc>
          <w:tcPr>
            <w:tcW w:type="dxa" w:w="1234"/>
          </w:tcPr>
          <w:p>
            <w:r>
              <w:t>Doorgifte-instrument (indien van toepassing)</w:t>
            </w:r>
          </w:p>
        </w:tc>
        <w:tc>
          <w:tcPr>
            <w:tcW w:type="dxa" w:w="1234"/>
          </w:tcPr>
          <w:p>
            <w:r>
              <w:t>Aanvullende maatregelen (indien van toepassing)</w:t>
            </w:r>
          </w:p>
        </w:tc>
      </w:tr>
      <w:tr>
        <w:tc>
          <w:tcPr>
            <w:tcW w:type="dxa" w:w="1234"/>
          </w:tcPr>
          <w:p>
            <w:r>
              <w:t>Ontvangen en vastleggen van meldingen woonoverlast</w:t>
            </w:r>
          </w:p>
        </w:tc>
        <w:tc>
          <w:tcPr>
            <w:tcW w:type="dxa" w:w="1234"/>
          </w:tcPr>
          <w:p>
            <w:r>
              <w:t>Het door inwoners laten indienen en het vastleggen van meldingen van woonoverlast ten behoeve van de behandeling daarvan door de gemeente</w:t>
            </w:r>
          </w:p>
        </w:tc>
        <w:tc>
          <w:tcPr>
            <w:tcW w:type="dxa" w:w="1234"/>
          </w:tcPr>
          <w:p>
            <w:r>
              <w:t>Melders (inwoners van Gemeente Voorbeeldstad), personen op wie de melding betrekking heeft en overige in de melding genoemde personen (waaronder mogelijk kwetsbare personen)</w:t>
            </w:r>
          </w:p>
        </w:tc>
        <w:tc>
          <w:tcPr>
            <w:tcW w:type="dxa" w:w="1234"/>
          </w:tcPr>
          <w:p>
            <w:r>
              <w:t>Naam, adres, contactgegevens, inhoud en omschrijving van de melding, datum en tijdstip. Bijzondere persoonsgegevens: in de vrije tekst kunnen gezondheidsgegevens (verslaving, psychische problematiek) en gegevens van strafrechtelijke aard voorkomen. BSN: ja, van de melder.</w:t>
            </w:r>
          </w:p>
        </w:tc>
        <w:tc>
          <w:tcPr>
            <w:tcW w:type="dxa" w:w="1234"/>
          </w:tcPr>
          <w:p>
            <w:r>
              <w:t>Nederland (EER)</w:t>
            </w:r>
          </w:p>
        </w:tc>
        <w:tc>
          <w:tcPr>
            <w:tcW w:type="dxa" w:w="1234"/>
          </w:tcPr>
          <w:p>
            <w:r>
              <w:t>Niet van toepassing</w:t>
            </w:r>
          </w:p>
        </w:tc>
        <w:tc>
          <w:tcPr>
            <w:tcW w:type="dxa" w:w="1234"/>
          </w:tcPr>
          <w:p>
            <w:r>
              <w:t>Niet van toepassing</w:t>
            </w:r>
          </w:p>
        </w:tc>
      </w:tr>
      <w:tr>
        <w:tc>
          <w:tcPr>
            <w:tcW w:type="dxa" w:w="1234"/>
          </w:tcPr>
          <w:p>
            <w:r>
              <w:t>Opslaan en hosten van meldingen</w:t>
            </w:r>
          </w:p>
        </w:tc>
        <w:tc>
          <w:tcPr>
            <w:tcW w:type="dxa" w:w="1234"/>
          </w:tcPr>
          <w:p>
            <w:r>
              <w:t>Het opslaan en beschikbaar houden van de meldingen en bijbehorende gegevens in de applicatie, inclusief back-ups en uitwijk</w:t>
            </w:r>
          </w:p>
        </w:tc>
        <w:tc>
          <w:tcPr>
            <w:tcW w:type="dxa" w:w="1234"/>
          </w:tcPr>
          <w:p>
            <w:r>
              <w:t>Melders, personen op wie de melding betrekking heeft en overige in de melding genoemde personen</w:t>
            </w:r>
          </w:p>
        </w:tc>
        <w:tc>
          <w:tcPr>
            <w:tcW w:type="dxa" w:w="1234"/>
          </w:tcPr>
          <w:p>
            <w:r>
              <w:t>Alle bij verwerking 1 vastgelegde gegevens. Bijzondere persoonsgegevens: mogelijk gezondheidsgegevens en gegevens van strafrechtelijke aard (zie verwerking 1). BSN: ja (zie verwerking 1).</w:t>
            </w:r>
          </w:p>
        </w:tc>
        <w:tc>
          <w:tcPr>
            <w:tcW w:type="dxa" w:w="1234"/>
          </w:tcPr>
          <w:p>
            <w:r>
              <w:t>Nederland (EER)</w:t>
            </w:r>
          </w:p>
        </w:tc>
        <w:tc>
          <w:tcPr>
            <w:tcW w:type="dxa" w:w="1234"/>
          </w:tcPr>
          <w:p>
            <w:r>
              <w:t>Niet van toepassing</w:t>
            </w:r>
          </w:p>
        </w:tc>
        <w:tc>
          <w:tcPr>
            <w:tcW w:type="dxa" w:w="1234"/>
          </w:tcPr>
          <w:p>
            <w:r>
              <w:t>Niet van toepassing</w:t>
            </w:r>
          </w:p>
        </w:tc>
      </w:tr>
      <w:tr>
        <w:tc>
          <w:tcPr>
            <w:tcW w:type="dxa" w:w="1234"/>
          </w:tcPr>
          <w:p>
            <w:r>
              <w:t>Beschikbaar stellen van meldingen aan wijkteam en woningcorporatie</w:t>
            </w:r>
          </w:p>
        </w:tc>
        <w:tc>
          <w:tcPr>
            <w:tcW w:type="dxa" w:w="1234"/>
          </w:tcPr>
          <w:p>
            <w:r>
              <w:t>Het per melding toegankelijk maken van gegevens voor medewerkers van het wijkteam en de woningcorporatie ten behoeve van de behandeling van de melding</w:t>
            </w:r>
          </w:p>
        </w:tc>
        <w:tc>
          <w:tcPr>
            <w:tcW w:type="dxa" w:w="1234"/>
          </w:tcPr>
          <w:p>
            <w:r>
              <w:t>Melders en personen op wie de melding betrekking heeft</w:t>
            </w:r>
          </w:p>
        </w:tc>
        <w:tc>
          <w:tcPr>
            <w:tcW w:type="dxa" w:w="1234"/>
          </w:tcPr>
          <w:p>
            <w:r>
              <w:t>Melding en bijbehorende persoonsgegevens. Bijzondere persoonsgegevens: mogelijk gezondheidsgegevens en gegevens van strafrechtelijke aard (zie verwerking 1). BSN: nee, het BSN wordt niet gedeeld met wijkteam en woningcorporatie.</w:t>
            </w:r>
          </w:p>
        </w:tc>
        <w:tc>
          <w:tcPr>
            <w:tcW w:type="dxa" w:w="1234"/>
          </w:tcPr>
          <w:p>
            <w:r>
              <w:t>Nederland (EER)</w:t>
            </w:r>
          </w:p>
        </w:tc>
        <w:tc>
          <w:tcPr>
            <w:tcW w:type="dxa" w:w="1234"/>
          </w:tcPr>
          <w:p>
            <w:r>
              <w:t>Niet van toepassing</w:t>
            </w:r>
          </w:p>
        </w:tc>
        <w:tc>
          <w:tcPr>
            <w:tcW w:type="dxa" w:w="1234"/>
          </w:tcPr>
          <w:p>
            <w:r>
              <w:t>Niet van toepassing</w:t>
            </w:r>
          </w:p>
        </w:tc>
      </w:tr>
      <w:tr>
        <w:tc>
          <w:tcPr>
            <w:tcW w:type="dxa" w:w="1234"/>
          </w:tcPr>
          <w:p>
            <w:r>
              <w:t>Technisch en applicatiebeheer</w:t>
            </w:r>
          </w:p>
        </w:tc>
        <w:tc>
          <w:tcPr>
            <w:tcW w:type="dxa" w:w="1234"/>
          </w:tcPr>
          <w:p>
            <w:r>
              <w:t>Beheer, onderhoud, storingsoplossing en support van de app en het zaaksysteem, waarbij toegang tot persoonsgegevens mogelijk is</w:t>
            </w:r>
          </w:p>
        </w:tc>
        <w:tc>
          <w:tcPr>
            <w:tcW w:type="dxa" w:w="1234"/>
          </w:tcPr>
          <w:p>
            <w:r>
              <w:t>Melders, personen op wie de melding betrekking heeft en gebruikers van de applicatie (gemeentemedewerkers, wijkteam, woningcorporatie)</w:t>
            </w:r>
          </w:p>
        </w:tc>
        <w:tc>
          <w:tcPr>
            <w:tcW w:type="dxa" w:w="1234"/>
          </w:tcPr>
          <w:p>
            <w:r>
              <w:t>Alle in de applicatie vastgelegde persoonsgegevens en logbestanden/gebruikersgegevens. Bijzondere persoonsgegevens: alleen incidenteel zichtbaar bij beheer (zie verwerking 1). BSN: ja, incidenteel zichtbaar bij beheer.</w:t>
            </w:r>
          </w:p>
        </w:tc>
        <w:tc>
          <w:tcPr>
            <w:tcW w:type="dxa" w:w="1234"/>
          </w:tcPr>
          <w:p>
            <w:r>
              <w:t>Nederland (EER); tweedelijns support vanuit Duitsland (EER)</w:t>
            </w:r>
          </w:p>
        </w:tc>
        <w:tc>
          <w:tcPr>
            <w:tcW w:type="dxa" w:w="1234"/>
          </w:tcPr>
          <w:p>
            <w:r>
              <w:t>Niet van toepassing</w:t>
            </w:r>
          </w:p>
        </w:tc>
        <w:tc>
          <w:tcPr>
            <w:tcW w:type="dxa" w:w="1234"/>
          </w:tcPr>
          <w:p>
            <w:r>
              <w:t>Niet van toepassing</w:t>
            </w:r>
          </w:p>
        </w:tc>
      </w:tr>
    </w:tbl>
    <w:p>
      <w:r>
        <w:t>Tabel 2: Contactgegevens (NB: ook buiten kantooruren).</w:t>
      </w:r>
    </w:p>
    <w:tbl>
      <w:tblPr>
        <w:tblStyle w:val="TableGrid"/>
        <w:tblW w:type="auto" w:w="0"/>
        <w:tblLook w:firstColumn="1" w:firstRow="1" w:lastColumn="0" w:lastRow="0" w:noHBand="0" w:noVBand="1" w:val="04A0"/>
      </w:tblPr>
      <w:tblGrid>
        <w:gridCol w:w="2880"/>
        <w:gridCol w:w="2880"/>
        <w:gridCol w:w="2880"/>
      </w:tblGrid>
      <w:tr>
        <w:tc>
          <w:tcPr>
            <w:tcW w:type="dxa" w:w="2880"/>
          </w:tcPr>
          <w:p>
            <w:r>
              <w:t>Contactpersoon</w:t>
            </w:r>
          </w:p>
        </w:tc>
        <w:tc>
          <w:tcPr>
            <w:tcW w:type="dxa" w:w="2880"/>
          </w:tcPr>
          <w:p>
            <w:r>
              <w:t>Naam</w:t>
            </w:r>
          </w:p>
        </w:tc>
        <w:tc>
          <w:tcPr>
            <w:tcW w:type="dxa" w:w="2880"/>
          </w:tcPr>
          <w:p>
            <w:r>
              <w:t>Contactgegevens</w:t>
            </w:r>
          </w:p>
        </w:tc>
      </w:tr>
      <w:tr>
        <w:tc>
          <w:tcPr>
            <w:tcW w:type="dxa" w:w="2880"/>
          </w:tcPr>
          <w:p>
            <w:r>
              <w:t>Contactpunt Verwerkingsverantwoordelijke (privacy/functionele meldingen, ook buiten kantooruren)</w:t>
            </w:r>
          </w:p>
        </w:tc>
        <w:tc>
          <w:tcPr>
            <w:tcW w:type="dxa" w:w="2880"/>
          </w:tcPr>
          <w:p>
            <w:r>
              <w:t>Functionele mailbox Privacy Gemeente Voorbeeldstad</w:t>
            </w:r>
          </w:p>
        </w:tc>
        <w:tc>
          <w:tcPr>
            <w:tcW w:type="dxa" w:w="2880"/>
          </w:tcPr>
          <w:p>
            <w:r>
              <w:t>privacy@voorbeeldstad.example, 0800-0000001</w:t>
            </w:r>
          </w:p>
        </w:tc>
      </w:tr>
      <w:tr>
        <w:tc>
          <w:tcPr>
            <w:tcW w:type="dxa" w:w="2880"/>
          </w:tcPr>
          <w:p>
            <w:r>
              <w:t>Contactpunt Verwerker (security/incidenten, 24x7, ook buiten kantooruren)</w:t>
            </w:r>
          </w:p>
        </w:tc>
        <w:tc>
          <w:tcPr>
            <w:tcW w:type="dxa" w:w="2880"/>
          </w:tcPr>
          <w:p>
            <w:r>
              <w:t>Security Operations Center Leverancier Fictief BV</w:t>
            </w:r>
          </w:p>
        </w:tc>
        <w:tc>
          <w:tcPr>
            <w:tcW w:type="dxa" w:w="2880"/>
          </w:tcPr>
          <w:p>
            <w:r>
              <w:t>soc@fictief.example, 0800-0000002</w:t>
            </w:r>
          </w:p>
        </w:tc>
      </w:tr>
      <w:tr>
        <w:tc>
          <w:tcPr>
            <w:tcW w:type="dxa" w:w="2880"/>
          </w:tcPr>
          <w:p>
            <w:r>
              <w:t>Contactgegevens IBD</w:t>
            </w:r>
          </w:p>
        </w:tc>
        <w:tc>
          <w:tcPr>
            <w:tcW w:type="dxa" w:w="2880"/>
          </w:tcPr>
          <w:p>
            <w:r>
              <w:t>Informatiebeveiligingsdienst</w:t>
            </w:r>
          </w:p>
        </w:tc>
        <w:tc>
          <w:tcPr>
            <w:tcW w:type="dxa" w:w="2880"/>
          </w:tcPr>
          <w:p>
            <w:r>
              <w:t>telefoonnummer: 070-204 55 11, e-mailadres: privacy@vng.nl</w:t>
            </w:r>
          </w:p>
        </w:tc>
      </w:tr>
    </w:tbl>
    <w:p>
      <w:r>
        <w:t>Tabel 3: Ingeschakelde subverwerkers.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t>Naam en contactgegevens subverwerker</w:t>
            </w:r>
          </w:p>
        </w:tc>
        <w:tc>
          <w:tcPr>
            <w:tcW w:type="dxa" w:w="1234"/>
          </w:tcPr>
          <w:p>
            <w:r>
              <w:t>KvK-nummer</w:t>
            </w:r>
          </w:p>
        </w:tc>
        <w:tc>
          <w:tcPr>
            <w:tcW w:type="dxa" w:w="1234"/>
          </w:tcPr>
          <w:p>
            <w:r>
              <w:t>Uitbestede verwerkingen</w:t>
            </w:r>
          </w:p>
        </w:tc>
        <w:tc>
          <w:tcPr>
            <w:tcW w:type="dxa" w:w="1234"/>
          </w:tcPr>
          <w:p>
            <w:r>
              <w:t>Toepassing (geautomatiseerd systeem)</w:t>
            </w:r>
          </w:p>
        </w:tc>
        <w:tc>
          <w:tcPr>
            <w:tcW w:type="dxa" w:w="1234"/>
          </w:tcPr>
          <w:p>
            <w:r>
              <w:t>Verwerkings-locatie</w:t>
            </w:r>
          </w:p>
        </w:tc>
        <w:tc>
          <w:tcPr>
            <w:tcW w:type="dxa" w:w="1234"/>
          </w:tcPr>
          <w:p>
            <w:r>
              <w:t>Doorgifte instrument</w:t>
            </w:r>
          </w:p>
        </w:tc>
        <w:tc>
          <w:tcPr>
            <w:tcW w:type="dxa" w:w="1234"/>
          </w:tcPr>
          <w:p>
            <w:r>
              <w:t>Aanvullende maatregelen (indien van toepassing)</w:t>
            </w:r>
          </w:p>
        </w:tc>
      </w:tr>
      <w:tr>
        <w:tc>
          <w:tcPr>
            <w:tcW w:type="dxa" w:w="1234"/>
          </w:tcPr>
          <w:p>
            <w:r>
              <w:t>Hostingpartner Fictief BV, Almere (uitwijklocatie Zwolle), &lt;contactgegevens&gt;</w:t>
            </w:r>
          </w:p>
        </w:tc>
        <w:tc>
          <w:tcPr>
            <w:tcW w:type="dxa" w:w="1234"/>
          </w:tcPr>
          <w:p>
            <w:r>
              <w:t>&lt;KvK-nummer&gt;</w:t>
            </w:r>
          </w:p>
        </w:tc>
        <w:tc>
          <w:tcPr>
            <w:tcW w:type="dxa" w:w="1234"/>
          </w:tcPr>
          <w:p>
            <w:r>
              <w:t>Opslaan en hosten van persoonsgegevens; Back-ups, herstel en continuïteitsvoorzieningen</w:t>
            </w:r>
          </w:p>
        </w:tc>
        <w:tc>
          <w:tcPr>
            <w:tcW w:type="dxa" w:w="1234"/>
          </w:tcPr>
          <w:p>
            <w:r>
              <w:t>Hosting van de app en het zaaksysteem Voorbeeldzaak, inclusief back-up- en uitwijkvoorzieningen</w:t>
            </w:r>
          </w:p>
        </w:tc>
        <w:tc>
          <w:tcPr>
            <w:tcW w:type="dxa" w:w="1234"/>
          </w:tcPr>
          <w:p>
            <w:r>
              <w:t>Nederland (EER)</w:t>
            </w:r>
          </w:p>
        </w:tc>
        <w:tc>
          <w:tcPr>
            <w:tcW w:type="dxa" w:w="1234"/>
          </w:tcPr>
          <w:p>
            <w:r>
              <w:t>Niet van toepassing</w:t>
            </w:r>
          </w:p>
        </w:tc>
        <w:tc>
          <w:tcPr>
            <w:tcW w:type="dxa" w:w="1234"/>
          </w:tcPr>
          <w:p>
            <w:r>
              <w:t>Niet van toepassing</w:t>
            </w:r>
          </w:p>
        </w:tc>
      </w:tr>
      <w:tr>
        <w:tc>
          <w:tcPr>
            <w:tcW w:type="dxa" w:w="1234"/>
          </w:tcPr>
          <w:p>
            <w:r>
              <w:t>Supportdesk Fictief GmbH, Duitsland, &lt;contactgegevens&gt;</w:t>
            </w:r>
          </w:p>
        </w:tc>
        <w:tc>
          <w:tcPr>
            <w:tcW w:type="dxa" w:w="1234"/>
          </w:tcPr>
          <w:p>
            <w:r>
              <w:t>&lt;registratienummer&gt;</w:t>
            </w:r>
          </w:p>
        </w:tc>
        <w:tc>
          <w:tcPr>
            <w:tcW w:type="dxa" w:w="1234"/>
          </w:tcPr>
          <w:p>
            <w:r>
              <w:t>Technisch, organisatorisch of operationeel beheer met mogelijke toegang tot persoonsgegevens</w:t>
            </w:r>
          </w:p>
        </w:tc>
        <w:tc>
          <w:tcPr>
            <w:tcW w:type="dxa" w:w="1234"/>
          </w:tcPr>
          <w:p>
            <w:r>
              <w:t>Tweedelijns support op de app en het zaaksysteem Voorbeeldzaak</w:t>
            </w:r>
          </w:p>
        </w:tc>
        <w:tc>
          <w:tcPr>
            <w:tcW w:type="dxa" w:w="1234"/>
          </w:tcPr>
          <w:p>
            <w:r>
              <w:t>Duitsland (EER)</w:t>
            </w:r>
          </w:p>
        </w:tc>
        <w:tc>
          <w:tcPr>
            <w:tcW w:type="dxa" w:w="1234"/>
          </w:tcPr>
          <w:p>
            <w:r>
              <w:t>Niet van toepassing</w:t>
            </w:r>
          </w:p>
        </w:tc>
        <w:tc>
          <w:tcPr>
            <w:tcW w:type="dxa" w:w="1234"/>
          </w:tcPr>
          <w:p>
            <w:r>
              <w:t>Niet van toepassing</w:t>
            </w:r>
          </w:p>
        </w:tc>
      </w:tr>
    </w:tbl>
    <w:p>
      <w:r>
        <w:t>NB: Substantiële wijzigingen in bovenstaande tabellen geven partijen op korte termijn aan elkaar door.</w:t>
      </w:r>
    </w:p>
    <w:p>
      <w:r>
        <w:br w:type="page"/>
      </w:r>
    </w:p>
    <w:p>
      <w:pPr>
        <w:pStyle w:val="Heading1"/>
      </w:pPr>
      <w:r>
        <w:t>Bijlage 2: Aantonen passend niveau van beveiliging</w:t>
      </w:r>
    </w:p>
    <w:p>
      <w:r>
        <w:t>Normenstelsel</w:t>
      </w:r>
    </w:p>
    <w:p>
      <w:r>
        <w:t>☒ De verwerker werkt volgens een algemeen erkende norm voor informatiebeveiliging, te weten: ISO/IEC 27001 (leverancier is gecertificeerd; jaarlijks ISAE 3402 type II-rapportage) en is volgens deze norm wel gecertificeerd. Datum laatste certificering: 1 maart 2025</w:t>
      </w:r>
    </w:p>
    <w:p>
      <w:r>
        <w:t>Het certificaat is geldig tot 1 maart 2028 en heeft betrekking op: hosting, beheer en support van het zaaksysteem Voorbeeldzaak, datacenters Almere en Zwolle.</w:t>
      </w:r>
    </w:p>
    <w:p>
      <w:r>
        <w:t>Toereikendheid. De toereikendheid van de informatiebeveiliging blijkt uit het volgende:</w:t>
      </w:r>
    </w:p>
    <w:p>
      <w:r>
        <w:t>☒ Geldig ISO/IEC 27001-certificaat en verklaring van toepasselijkheid</w:t>
      </w:r>
    </w:p>
    <w:p>
      <w:r>
        <w:t>☒ Jaarlijks ISAE 3402 type II-rapport</w:t>
      </w:r>
    </w:p>
    <w:p>
      <w:r>
        <w:t>NB: Uit de certificering/periodieke externe controles/audits of uit de eigen controles/beschrijvingen blijkt of kan worden afgeleid dat de beveiliging passend is bij de verwerking(en) genoemd in Bijlage 1.</w:t>
      </w:r>
    </w:p>
    <w:p>
      <w:r>
        <w:t>Aansluiting bij goedgekeurde gedragscode: niet van toepassing</w:t>
      </w:r>
    </w:p>
    <w:p>
      <w:r>
        <w:t>NB: Substantiële wijzigingen in het bovenstaande en achteruitgang van de voorwaarden geven partijen op korte termijn aan elkaar door.</w:t>
      </w:r>
    </w:p>
    <w:p>
      <w:r>
        <w:br w:type="page"/>
      </w:r>
    </w:p>
    <w:p>
      <w:pPr>
        <w:pStyle w:val="Heading1"/>
      </w:pPr>
      <w:r>
        <w:t>Addendum bij de Standaard Verwerkersovereenkomst</w:t>
      </w:r>
    </w:p>
    <w:p>
      <w:r>
        <w:t>In aanvulling op de Standaard Verwerkersovereenkomst Gemeenten (versie 2.54) komen Partijen het volgende overeen. Bij strijdigheid gaat dit addendum voor op de artikelen waarnaar het verwijst.</w:t>
      </w:r>
    </w:p>
    <w:p>
      <w:pPr>
        <w:pStyle w:val="Heading2"/>
      </w:pPr>
      <w:r>
        <w:t>A.1 Verwerking buiten de EER (aanvulling op artikel 4.3)</w:t>
      </w:r>
    </w:p>
    <w:p>
      <w:r>
        <w:t>In afwijking van artikel 4.3 vindt verwerking van Persoonsgegevens buiten de Europese Economische Ruimte, daaronder begrepen toegang op afstand voor beheer of ondersteuning, uitsluitend plaats na voorafgaande schriftelijke toestemming van Verwerkingsverantwoordelijke en op basis van een in Bijlage 1 benoemd doorgifte-instrument met de daarbij horende aanvullende maatregelen.</w:t>
      </w:r>
    </w:p>
    <w:p>
      <w:pPr>
        <w:pStyle w:val="Heading2"/>
      </w:pPr>
      <w:r>
        <w:t>A.2 Instructie in strijd met de AVG (aanvulling op artikel 3.1)</w:t>
      </w:r>
    </w:p>
    <w:p>
      <w:r>
        <w:t>Als een schriftelijke instructie van Verwerkingsverantwoordelijke naar het oordeel van Verwerker in strijd is met de AVG of de UAVG, informeert Verwerker Verwerkingsverantwoordelijke daarover zonder onredelijke vertraging en schort Verwerker de uitvoering van die instructie op totdat Verwerkingsverantwoordelijke schriftelijk heeft gereageerd.</w:t>
      </w:r>
    </w:p>
    <w:p>
      <w:pPr>
        <w:pStyle w:val="Heading2"/>
      </w:pPr>
      <w:r>
        <w:t>A.3 Bewaartermijnen en verwijdering (aanvulling op artikel 3.2 en 7.1)</w:t>
      </w:r>
    </w:p>
    <w:p>
      <w:r>
        <w:t>Verwerker bewaart Persoonsgegevens niet langer dan de bewaartermijnen die Verwerkingsverantwoordelijke op grond van de Archiefwet en de geldende selectielijst heeft vastgesteld en schriftelijk aan Verwerker heeft meegedeeld. Gegevens die uit de productieomgeving zijn verwijderd, worden uiterlijk binnen 30 dagen ook uit back-ups overschreven of vernietigd. Logbestanden die Persoonsgegevens bevatten worden niet langer dan twaalf maanden bewaard, tenzij een wettelijke plicht of een lopend onderzoek naar een Inbreuk langer bewaren vereist. Na afloop van een bewaartermijn verwijdert Verwerker de Persoonsgegevens en bevestigt dit op verzoek schriftelijk aan Verwerkingsverantwoordelijke.</w:t>
      </w:r>
    </w:p>
    <w:p>
      <w:pPr>
        <w:pStyle w:val="Heading2"/>
      </w:pPr>
      <w:r>
        <w:t>A.4 Bereikbaarheid en reactietermijn van de contactpunten (aanvulling op Bijlage 1, tabel 2)</w:t>
      </w:r>
    </w:p>
    <w:p>
      <w:r>
        <w:t>De contactpunten in tabel 2 van Bijlage 1 zijn op werkdagen tussen 08.00 en 17.00 uur bereikbaar via de vermelde mailbox en het vermelde telefoonnummer, en daarbuiten via het vermelde telefoonnummer. Een bericht over een (vermoedelijke) Inbreuk wordt binnen vier uur bevestigd, een ander bericht binnen één werkdag. Blijft een reactie uit, dan wendt de melder zich tot de in deze Verwerkersovereenkomst genoemde vertegenwoordiger van de andere Partij. Wijzigingen in de contactpunten worden binnen vijf werkdagen schriftelijk doorgegeven.</w:t>
      </w:r>
    </w:p>
    <w:p>
      <w:pPr>
        <w:pStyle w:val="Heading2"/>
      </w:pPr>
      <w:r>
        <w:t>A.5 Geldigheid en reikwijdte van de certificering (aanvulling op artikel 4.1 en Bijlage 2)</w:t>
      </w:r>
    </w:p>
    <w:p>
      <w:r>
        <w:t>De in Bijlage 2 genoemde certificering geldt voor de daar vermelde reikwijdte (diensten en locaties) en tot de daar vermelde datum. Verwerker verstrekt op verzoek het certificaat en de verklaring van toepasselijkheid en informeert Verwerkingsverantwoordelijke binnen tien werkdagen als de certificering verloopt, wordt ingetrokken, wordt geschorst of in reikwijdte wordt beperkt. Voor subverwerkers uit tabel 3 van Bijlage 1 die Persoonsgegevens hosten of daartoe toegang hebben, toont Verwerker op verzoek aan dat een gelijkwaardig beveiligingsniveau geldt.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B4A9DC28AA784FA26290B7E76D52C9" ma:contentTypeVersion="12" ma:contentTypeDescription="Een nieuw document maken." ma:contentTypeScope="" ma:versionID="280692e816f42206e799d52b28503fc0">
  <xsd:schema xmlns:xsd="http://www.w3.org/2001/XMLSchema" xmlns:xs="http://www.w3.org/2001/XMLSchema" xmlns:p="http://schemas.microsoft.com/office/2006/metadata/properties" xmlns:ns2="c54c211f-0a4b-4d6f-8f54-6d1ce372df47" xmlns:ns3="f4713caf-6d21-4cad-9db8-1b9fa2ebd223" targetNamespace="http://schemas.microsoft.com/office/2006/metadata/properties" ma:root="true" ma:fieldsID="b1525b08cc887147b2effc314784d3a4" ns2:_="" ns3:_="">
    <xsd:import namespace="c54c211f-0a4b-4d6f-8f54-6d1ce372df47"/>
    <xsd:import namespace="f4713caf-6d21-4cad-9db8-1b9fa2ebd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c211f-0a4b-4d6f-8f54-6d1ce372d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469c126-3328-452a-a7a2-03bd769b29a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713caf-6d21-4cad-9db8-1b9fa2ebd2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672642-9c21-4fb0-a437-c2d821d73b32}" ma:internalName="TaxCatchAll" ma:showField="CatchAllData" ma:web="f4713caf-6d21-4cad-9db8-1b9fa2ebd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4c211f-0a4b-4d6f-8f54-6d1ce372df47">
      <Terms xmlns="http://schemas.microsoft.com/office/infopath/2007/PartnerControls"/>
    </lcf76f155ced4ddcb4097134ff3c332f>
    <TaxCatchAll xmlns="f4713caf-6d21-4cad-9db8-1b9fa2ebd22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34AF98D-7BD7-42F1-8288-9D19C635D4F6}"/>
</file>

<file path=customXml/itemProps3.xml><?xml version="1.0" encoding="utf-8"?>
<ds:datastoreItem xmlns:ds="http://schemas.openxmlformats.org/officeDocument/2006/customXml" ds:itemID="{3F466811-20A4-4D40-ADD2-C65968554413}"/>
</file>

<file path=customXml/itemProps4.xml><?xml version="1.0" encoding="utf-8"?>
<ds:datastoreItem xmlns:ds="http://schemas.openxmlformats.org/officeDocument/2006/customXml" ds:itemID="{BBC91BA5-7244-448B-AF5B-BACE2721AA06}"/>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0x01010027B4A9DC28AA784FA26290B7E76D52C9</vt:lpwstr>
  </property>
  <property fmtid="{D5CDD505-2E9C-101B-9397-08002B2CF9AE}" pid="3" name="MediaServiceImageTags">
    <vt:lpwstr/>
  </property>
</Properties>
</file>