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Verzoek om aanpassing van de verwerkersovereenkomst</w:t>
      </w:r>
    </w:p>
    <w:p>
      <w:r>
        <w:t>&lt;organisatie&gt; · 02-11-2026 · kenmerk 0142974e</w:t>
      </w:r>
    </w:p>
    <w:p>
      <w:r>
        <w:t>&lt;organisatie&gt; heeft de verwerkersovereenkomst beoordeeld. De functionaris gegevensbescherming vraagt u het onderstaande punt aan te passen of aan te vullen. Per punt staat wat er nu in de overeenkomst staat, wat wij verwachten en op welke bron dat is gebaseerd. Wilt u laten weten hoe en wanneer u het punt verwerkt?</w:t>
      </w:r>
    </w:p>
    <w:p>
      <w:pPr>
        <w:pStyle w:val="Heading1"/>
      </w:pPr>
      <w:r>
        <w:t>Overzicht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Nr.</w:t>
            </w:r>
          </w:p>
        </w:tc>
        <w:tc>
          <w:tcPr>
            <w:tcW w:type="dxa" w:w="2160"/>
          </w:tcPr>
          <w:p>
            <w:r>
              <w:t>Onderwerp</w:t>
            </w:r>
          </w:p>
        </w:tc>
        <w:tc>
          <w:tcPr>
            <w:tcW w:type="dxa" w:w="2160"/>
          </w:tcPr>
          <w:p>
            <w:r>
              <w:t>Bevinding</w:t>
            </w:r>
          </w:p>
        </w:tc>
        <w:tc>
          <w:tcPr>
            <w:tcW w:type="dxa" w:w="2160"/>
          </w:tcPr>
          <w:p>
            <w:r>
              <w:t>Prioriteit</w:t>
            </w:r>
          </w:p>
        </w:tc>
      </w:tr>
      <w:tr>
        <w:tc>
          <w:tcPr>
            <w:tcW w:type="dxa" w:w="2160"/>
          </w:tcPr>
          <w:p>
            <w:r>
              <w:t>1</w:t>
            </w:r>
          </w:p>
        </w:tc>
        <w:tc>
          <w:tcPr>
            <w:tcW w:type="dxa" w:w="2160"/>
          </w:tcPr>
          <w:p>
            <w:r>
              <w:t>De overeenkomst beschrijft de rechten en verplichtingen van de verwerkingsverantwoordelijke.</w:t>
            </w:r>
          </w:p>
        </w:tc>
        <w:tc>
          <w:tcPr>
            <w:tcW w:type="dxa" w:w="2160"/>
          </w:tcPr>
          <w:p>
            <w:r>
              <w:t>niet concreet genoeg</w:t>
            </w:r>
          </w:p>
        </w:tc>
        <w:tc>
          <w:tcPr>
            <w:tcW w:type="dxa" w:w="2160"/>
          </w:tcPr>
          <w:p>
            <w:r>
              <w:t>midden</w:t>
            </w:r>
          </w:p>
        </w:tc>
      </w:tr>
    </w:tbl>
    <w:p>
      <w:pPr>
        <w:pStyle w:val="Heading1"/>
      </w:pPr>
      <w:r>
        <w:t>1. De overeenkomst beschrijft de rechten en verplichtingen van de verwerkingsverantwoordelijke.</w:t>
      </w:r>
    </w:p>
    <w:p>
      <w:pPr>
        <w:pStyle w:val="Heading3"/>
      </w:pPr>
      <w:r>
        <w:t>Wat er nu staat</w:t>
      </w:r>
    </w:p>
    <w:p>
      <w:pPr>
        <w:pStyle w:val="IntenseQuote"/>
      </w:pPr>
      <w: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(Artikel 3 Onderwerp van deze Verwerkersovereenkomst)</w:t>
      </w:r>
    </w:p>
    <w:p>
      <w:pPr>
        <w:pStyle w:val="IntenseQuote"/>
      </w:pPr>
      <w:r>
        <w:t>Verwerker bewaart Persoonsgegevens niet langer dan de bewaartermijnen die Verwerkingsverantwoordelijke op grond van de Archiefwet en de geldende selectielijst heeft vastgesteld en schriftelijk aan Verwerker heeft meegedeeld.  (A.3 Bewaartermijnen en verwijdering (aanvulling op artikel 3.2 en 7.1))</w:t>
      </w:r>
    </w:p>
    <w:p>
      <w:pPr>
        <w:pStyle w:val="IntenseQuote"/>
      </w:pPr>
      <w:r>
        <w:t>Verwerkingsverantwoordelijke beslist of de Inbreuk moet worden gemeld bij de toezichthoudende autoriteit en/of Betrokkene.  (Artikel 5 Inbreuk in verband met Persoonsgegevens)</w:t>
      </w:r>
    </w:p>
    <w:p>
      <w:pPr>
        <w:pStyle w:val="IntenseQuote"/>
      </w:pPr>
      <w:r>
        <w:t>Contactpunt Verwerkingsverantwoordelijke (privacy/functionele meldingen, ook buiten kantooruren) | Functionele mailbox Privacy Gemeente Voorbeeldstad | privacy@voorbeeldstad.example, 0800-0000001  (Bijlage 1: Overzicht van te verwerken persoonsgegevens, contactgegevens partijen en overzicht ingeschakelde subverwerkers)</w:t>
      </w:r>
    </w:p>
    <w:p>
      <w:pPr>
        <w:pStyle w:val="Heading3"/>
      </w:pPr>
      <w:r>
        <w:t>Wat wij verwachten</w:t>
      </w:r>
    </w:p>
    <w:p>
      <w:r>
        <w:t>Er staat wie namens de verantwoordelijke instructies geeft (functie of rol), hoe instructies worden gegeven (schriftelijk, via welk kanaal) en welke verantwoordelijkheden bij de verantwoordelijke blijven.</w:t>
      </w:r>
    </w:p>
    <w:p>
      <w:pPr>
        <w:pStyle w:val="Heading3"/>
      </w:pPr>
      <w:r>
        <w:t>Bron</w:t>
      </w:r>
    </w:p>
    <w:p>
      <w:r>
        <w:t>AVG art. 28 lid 3, aanhef: rechten en verplichtingen van de verwerkingsverantwoordelijke</w:t>
      </w:r>
    </w:p>
    <w:p>
      <w:pPr>
        <w:pStyle w:val="Heading3"/>
      </w:pPr>
      <w:r>
        <w:t>Toelichting van de functionaris gegevensbescherming</w:t>
      </w:r>
    </w:p>
    <w:p>
      <w:r>
        <w:t>Bevestigd; beveiligingsbijlage laten aanvullen voor ondertekening</w:t>
      </w:r>
    </w:p>
    <w:p/>
    <w:p>
      <w:r>
        <w:t>Dit overzicht is opgesteld met Datavoogd. De punten zijn beoordeeld en bevestigd door de functionaris gegevensbescherming van &lt;organisatie&gt;. Toetsregels: vwo_art28 v2026-09-13.1, vwo_ap_2025 v2026-09-14.1, vwo_ibd v2026-09-14.1.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